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7" w:rsidRPr="00982472" w:rsidRDefault="002A0047" w:rsidP="00B22CA4">
      <w:pPr>
        <w:autoSpaceDE w:val="0"/>
        <w:autoSpaceDN w:val="0"/>
        <w:adjustRightInd w:val="0"/>
        <w:spacing w:before="0" w:after="120"/>
        <w:jc w:val="left"/>
        <w:rPr>
          <w:rFonts w:ascii="Times New Roman" w:hAnsi="Times New Roman"/>
          <w:b/>
          <w:bCs/>
        </w:rPr>
      </w:pPr>
      <w:r w:rsidRPr="002A0047">
        <w:rPr>
          <w:rFonts w:ascii="Times New Roman" w:hAnsi="Times New Roman"/>
          <w:b/>
          <w:bCs/>
        </w:rPr>
        <w:t xml:space="preserve">Informatīvais ziņojums par </w:t>
      </w:r>
      <w:r w:rsidR="00695F77">
        <w:rPr>
          <w:rFonts w:ascii="Times New Roman" w:hAnsi="Times New Roman"/>
          <w:b/>
          <w:bCs/>
        </w:rPr>
        <w:t>Madonas</w:t>
      </w:r>
      <w:r w:rsidR="005B602C" w:rsidRPr="00982472">
        <w:rPr>
          <w:rFonts w:ascii="Times New Roman" w:hAnsi="Times New Roman"/>
          <w:b/>
          <w:bCs/>
        </w:rPr>
        <w:t xml:space="preserve"> novada attīstības programmu</w:t>
      </w:r>
      <w:r w:rsidR="002458AB">
        <w:rPr>
          <w:rFonts w:ascii="Times New Roman" w:hAnsi="Times New Roman"/>
          <w:b/>
          <w:bCs/>
        </w:rPr>
        <w:t xml:space="preserve"> 2013.-2020.gadam</w:t>
      </w:r>
    </w:p>
    <w:p w:rsidR="002A0047" w:rsidRPr="00B22CA4" w:rsidRDefault="00695F77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Madonas</w:t>
      </w:r>
      <w:r w:rsidR="005B602C" w:rsidRPr="00B22CA4">
        <w:rPr>
          <w:rFonts w:ascii="Times New Roman" w:hAnsi="Times New Roman"/>
        </w:rPr>
        <w:t xml:space="preserve"> novada pašvaldība</w:t>
      </w:r>
      <w:r w:rsidR="002A0047" w:rsidRPr="00B22CA4">
        <w:rPr>
          <w:rFonts w:ascii="Times New Roman" w:hAnsi="Times New Roman"/>
        </w:rPr>
        <w:t xml:space="preserve"> informē, ka saskaņā </w:t>
      </w:r>
      <w:r w:rsidR="007302C2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Madonas</w:t>
      </w:r>
      <w:r w:rsidR="005B602C" w:rsidRPr="00B22CA4">
        <w:rPr>
          <w:rFonts w:ascii="Times New Roman" w:hAnsi="Times New Roman"/>
        </w:rPr>
        <w:t xml:space="preserve"> novada</w:t>
      </w:r>
      <w:r w:rsidR="002A0047" w:rsidRPr="00B22CA4">
        <w:rPr>
          <w:rFonts w:ascii="Times New Roman" w:hAnsi="Times New Roman"/>
        </w:rPr>
        <w:t xml:space="preserve"> domes 201</w:t>
      </w:r>
      <w:r>
        <w:rPr>
          <w:rFonts w:ascii="Times New Roman" w:hAnsi="Times New Roman"/>
        </w:rPr>
        <w:t>3</w:t>
      </w:r>
      <w:r w:rsidR="002A0047" w:rsidRPr="00B22CA4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30</w:t>
      </w:r>
      <w:r w:rsidR="002A0047" w:rsidRPr="00B22CA4">
        <w:rPr>
          <w:rFonts w:ascii="Times New Roman" w:hAnsi="Times New Roman"/>
        </w:rPr>
        <w:t>.</w:t>
      </w:r>
      <w:r w:rsidR="005B602C" w:rsidRPr="00B22C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maija</w:t>
      </w:r>
      <w:r w:rsidR="002A0047" w:rsidRPr="00B22CA4">
        <w:rPr>
          <w:rFonts w:ascii="Times New Roman" w:hAnsi="Times New Roman"/>
        </w:rPr>
        <w:t xml:space="preserve"> lēmumu (</w:t>
      </w:r>
      <w:r w:rsidR="002A0047" w:rsidRPr="00695F77">
        <w:rPr>
          <w:rFonts w:ascii="Times New Roman" w:hAnsi="Times New Roman"/>
          <w:highlight w:val="yellow"/>
        </w:rPr>
        <w:t>protokols Nr.</w:t>
      </w:r>
      <w:proofErr w:type="gramStart"/>
      <w:r w:rsidR="002A0047" w:rsidRPr="00695F77">
        <w:rPr>
          <w:rFonts w:ascii="Times New Roman" w:hAnsi="Times New Roman"/>
          <w:highlight w:val="yellow"/>
        </w:rPr>
        <w:t>,.</w:t>
      </w:r>
      <w:proofErr w:type="gramEnd"/>
      <w:r w:rsidR="002C226E" w:rsidRPr="00695F77">
        <w:rPr>
          <w:rFonts w:ascii="Times New Roman" w:hAnsi="Times New Roman"/>
          <w:highlight w:val="yellow"/>
        </w:rPr>
        <w:t>§</w:t>
      </w:r>
      <w:r w:rsidR="002A0047" w:rsidRPr="00695F77">
        <w:rPr>
          <w:rFonts w:ascii="Times New Roman" w:hAnsi="Times New Roman"/>
          <w:highlight w:val="yellow"/>
        </w:rPr>
        <w:t>)</w:t>
      </w:r>
      <w:r w:rsidR="002A0047" w:rsidRPr="00B22CA4">
        <w:rPr>
          <w:rFonts w:ascii="Times New Roman" w:hAnsi="Times New Roman"/>
        </w:rPr>
        <w:t xml:space="preserve"> „Par </w:t>
      </w:r>
      <w:r>
        <w:rPr>
          <w:rFonts w:ascii="Times New Roman" w:hAnsi="Times New Roman"/>
        </w:rPr>
        <w:t>Madonas</w:t>
      </w:r>
      <w:r w:rsidR="005B602C" w:rsidRPr="00B22CA4">
        <w:rPr>
          <w:rFonts w:ascii="Times New Roman" w:hAnsi="Times New Roman"/>
        </w:rPr>
        <w:t xml:space="preserve"> novada attīstības programmas</w:t>
      </w:r>
      <w:r w:rsidR="002A0047" w:rsidRPr="00B22CA4">
        <w:rPr>
          <w:rFonts w:ascii="Times New Roman" w:hAnsi="Times New Roman"/>
        </w:rPr>
        <w:t xml:space="preserve"> </w:t>
      </w:r>
      <w:r w:rsidR="005B602C" w:rsidRPr="00B22CA4">
        <w:rPr>
          <w:rFonts w:ascii="Times New Roman" w:hAnsi="Times New Roman"/>
        </w:rPr>
        <w:t xml:space="preserve">2013.-2020.gadam </w:t>
      </w:r>
      <w:r w:rsidR="002A0047" w:rsidRPr="00B22CA4">
        <w:rPr>
          <w:rFonts w:ascii="Times New Roman" w:hAnsi="Times New Roman"/>
        </w:rPr>
        <w:t>apstiprināšanu” ir pieņemt</w:t>
      </w:r>
      <w:r w:rsidR="005B602C" w:rsidRPr="00B22CA4">
        <w:rPr>
          <w:rFonts w:ascii="Times New Roman" w:hAnsi="Times New Roman"/>
        </w:rPr>
        <w:t>a</w:t>
      </w:r>
      <w:r w:rsidR="002A0047" w:rsidRPr="00B22C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Madona</w:t>
      </w:r>
      <w:r w:rsidR="005B602C" w:rsidRPr="00B22CA4">
        <w:rPr>
          <w:rFonts w:ascii="Times New Roman" w:hAnsi="Times New Roman"/>
        </w:rPr>
        <w:t xml:space="preserve"> novada attīstības programma</w:t>
      </w:r>
      <w:r>
        <w:rPr>
          <w:rFonts w:ascii="Times New Roman" w:hAnsi="Times New Roman"/>
        </w:rPr>
        <w:t xml:space="preserve"> 2013.-2020.gadam (turpmāk tekstā - Madonas novada AP)</w:t>
      </w:r>
      <w:r w:rsidR="005B602C" w:rsidRPr="00B22CA4">
        <w:rPr>
          <w:rFonts w:ascii="Times New Roman" w:hAnsi="Times New Roman"/>
        </w:rPr>
        <w:t>.</w:t>
      </w:r>
    </w:p>
    <w:p w:rsidR="002A0047" w:rsidRPr="002A0047" w:rsidRDefault="002A0047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7302C2">
        <w:rPr>
          <w:rFonts w:ascii="Times New Roman" w:hAnsi="Times New Roman"/>
        </w:rPr>
        <w:t>Informatīvais ziņojums sagatavots</w:t>
      </w:r>
      <w:r w:rsidR="00695F77" w:rsidRPr="007302C2">
        <w:rPr>
          <w:rFonts w:ascii="Times New Roman" w:hAnsi="Times New Roman"/>
        </w:rPr>
        <w:t>,</w:t>
      </w:r>
      <w:r w:rsidRPr="007302C2">
        <w:rPr>
          <w:rFonts w:ascii="Times New Roman" w:hAnsi="Times New Roman"/>
        </w:rPr>
        <w:t xml:space="preserve"> pamatojoties uz Vides pārraudzības valsts biroj</w:t>
      </w:r>
      <w:r w:rsidR="005B602C" w:rsidRPr="007302C2">
        <w:rPr>
          <w:rFonts w:ascii="Times New Roman" w:hAnsi="Times New Roman"/>
        </w:rPr>
        <w:t>a</w:t>
      </w:r>
      <w:r w:rsidRPr="007302C2">
        <w:rPr>
          <w:rFonts w:ascii="Times New Roman" w:hAnsi="Times New Roman"/>
        </w:rPr>
        <w:t xml:space="preserve"> 201</w:t>
      </w:r>
      <w:r w:rsidR="00695F77" w:rsidRPr="007302C2">
        <w:rPr>
          <w:rFonts w:ascii="Times New Roman" w:hAnsi="Times New Roman"/>
        </w:rPr>
        <w:t>3</w:t>
      </w:r>
      <w:r w:rsidRPr="007302C2">
        <w:rPr>
          <w:rFonts w:ascii="Times New Roman" w:hAnsi="Times New Roman"/>
        </w:rPr>
        <w:t xml:space="preserve">.gada </w:t>
      </w:r>
      <w:r w:rsidR="007302C2" w:rsidRPr="007302C2">
        <w:rPr>
          <w:rFonts w:ascii="Times New Roman" w:hAnsi="Times New Roman"/>
        </w:rPr>
        <w:t>16</w:t>
      </w:r>
      <w:r w:rsidR="00B22CA4" w:rsidRPr="007302C2">
        <w:rPr>
          <w:rFonts w:ascii="Times New Roman" w:hAnsi="Times New Roman"/>
        </w:rPr>
        <w:t>.</w:t>
      </w:r>
      <w:r w:rsidR="00695F77" w:rsidRPr="007302C2">
        <w:rPr>
          <w:rFonts w:ascii="Times New Roman" w:hAnsi="Times New Roman"/>
        </w:rPr>
        <w:t>maijā</w:t>
      </w:r>
      <w:r w:rsidRPr="007302C2">
        <w:rPr>
          <w:rFonts w:ascii="Times New Roman" w:hAnsi="Times New Roman"/>
        </w:rPr>
        <w:t xml:space="preserve"> sniegtajā atzinumā Nr.</w:t>
      </w:r>
      <w:r w:rsidR="007302C2" w:rsidRPr="007302C2">
        <w:rPr>
          <w:rFonts w:ascii="Times New Roman" w:hAnsi="Times New Roman"/>
        </w:rPr>
        <w:t>1</w:t>
      </w:r>
      <w:r w:rsidR="005B602C" w:rsidRPr="007302C2">
        <w:rPr>
          <w:rFonts w:ascii="Times New Roman" w:hAnsi="Times New Roman"/>
        </w:rPr>
        <w:t>8</w:t>
      </w:r>
      <w:r w:rsidRPr="007302C2">
        <w:rPr>
          <w:rFonts w:ascii="Times New Roman" w:hAnsi="Times New Roman"/>
        </w:rPr>
        <w:t xml:space="preserve"> „</w:t>
      </w:r>
      <w:r w:rsidRPr="00B22CA4">
        <w:rPr>
          <w:rFonts w:ascii="Times New Roman" w:hAnsi="Times New Roman"/>
        </w:rPr>
        <w:t xml:space="preserve">Par </w:t>
      </w:r>
      <w:r w:rsidR="00695F77">
        <w:rPr>
          <w:rFonts w:ascii="Times New Roman" w:hAnsi="Times New Roman"/>
        </w:rPr>
        <w:t>Madonas</w:t>
      </w:r>
      <w:r w:rsidR="005B602C" w:rsidRPr="00B22CA4">
        <w:rPr>
          <w:rFonts w:ascii="Times New Roman" w:hAnsi="Times New Roman"/>
        </w:rPr>
        <w:t xml:space="preserve"> novada attīstības programmas 2013.-2020.gadam</w:t>
      </w:r>
      <w:r w:rsidR="007302C2">
        <w:rPr>
          <w:rFonts w:ascii="Times New Roman" w:hAnsi="Times New Roman"/>
        </w:rPr>
        <w:t xml:space="preserve"> un Madonas novada teritorijas plānojuma 2013.-2025.gadam</w:t>
      </w:r>
      <w:r w:rsidR="005B602C" w:rsidRPr="00982472">
        <w:rPr>
          <w:rFonts w:ascii="Times New Roman" w:hAnsi="Times New Roman"/>
        </w:rPr>
        <w:t xml:space="preserve"> </w:t>
      </w:r>
      <w:r w:rsidRPr="002A0047">
        <w:rPr>
          <w:rFonts w:ascii="Times New Roman" w:hAnsi="Times New Roman"/>
        </w:rPr>
        <w:t>Vides</w:t>
      </w:r>
      <w:r w:rsidR="005B602C" w:rsidRPr="00982472">
        <w:rPr>
          <w:rFonts w:ascii="Times New Roman" w:hAnsi="Times New Roman"/>
        </w:rPr>
        <w:t xml:space="preserve"> </w:t>
      </w:r>
      <w:r w:rsidRPr="002A0047">
        <w:rPr>
          <w:rFonts w:ascii="Times New Roman" w:hAnsi="Times New Roman"/>
        </w:rPr>
        <w:t>pārskatu” iekļautajām rekomendācijām</w:t>
      </w:r>
      <w:r w:rsidR="007302C2">
        <w:rPr>
          <w:rFonts w:ascii="Times New Roman" w:hAnsi="Times New Roman"/>
        </w:rPr>
        <w:t xml:space="preserve"> un</w:t>
      </w:r>
      <w:r w:rsidRPr="002A0047">
        <w:rPr>
          <w:rFonts w:ascii="Times New Roman" w:hAnsi="Times New Roman"/>
        </w:rPr>
        <w:t xml:space="preserve"> </w:t>
      </w:r>
      <w:r w:rsidR="007302C2">
        <w:rPr>
          <w:rFonts w:ascii="Times New Roman" w:hAnsi="Times New Roman"/>
        </w:rPr>
        <w:t xml:space="preserve">LR </w:t>
      </w:r>
      <w:r w:rsidRPr="002A0047">
        <w:rPr>
          <w:rFonts w:ascii="Times New Roman" w:hAnsi="Times New Roman"/>
        </w:rPr>
        <w:t>Ministru kabineta noteikumu Nr. 157 “Kārtība, kādā</w:t>
      </w:r>
      <w:r w:rsidR="00982472" w:rsidRPr="00982472">
        <w:rPr>
          <w:rFonts w:ascii="Times New Roman" w:hAnsi="Times New Roman"/>
        </w:rPr>
        <w:t xml:space="preserve"> </w:t>
      </w:r>
      <w:r w:rsidRPr="002A0047">
        <w:rPr>
          <w:rFonts w:ascii="Times New Roman" w:hAnsi="Times New Roman"/>
        </w:rPr>
        <w:t>veicams ietekmes uz vidi stratēģiskais novērtējums” 27.punktu</w:t>
      </w:r>
      <w:r w:rsidR="00982472" w:rsidRPr="00FE263B">
        <w:rPr>
          <w:rFonts w:ascii="Times New Roman" w:hAnsi="Times New Roman"/>
        </w:rPr>
        <w:t>.</w:t>
      </w:r>
    </w:p>
    <w:p w:rsidR="006B4981" w:rsidRDefault="006B4981" w:rsidP="006B4981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b/>
          <w:bCs/>
        </w:rPr>
      </w:pPr>
    </w:p>
    <w:p w:rsidR="006B4981" w:rsidRPr="006B4981" w:rsidRDefault="006B4981" w:rsidP="00B22CA4">
      <w:pPr>
        <w:autoSpaceDE w:val="0"/>
        <w:autoSpaceDN w:val="0"/>
        <w:adjustRightInd w:val="0"/>
        <w:spacing w:before="0" w:after="120"/>
        <w:jc w:val="left"/>
        <w:rPr>
          <w:rFonts w:ascii="Times New Roman" w:hAnsi="Times New Roman"/>
          <w:b/>
          <w:bCs/>
        </w:rPr>
      </w:pPr>
      <w:r w:rsidRPr="006B4981">
        <w:rPr>
          <w:rFonts w:ascii="Times New Roman" w:hAnsi="Times New Roman"/>
          <w:b/>
          <w:bCs/>
        </w:rPr>
        <w:t>Vides apsvērumu integrēšana plānošanas dokumentā</w:t>
      </w:r>
    </w:p>
    <w:p w:rsidR="006B4981" w:rsidRPr="006B4981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6B4981">
        <w:rPr>
          <w:rFonts w:ascii="Times New Roman" w:hAnsi="Times New Roman"/>
        </w:rPr>
        <w:t xml:space="preserve">Vienlaicīgi ar </w:t>
      </w:r>
      <w:r w:rsidR="007302C2">
        <w:rPr>
          <w:rFonts w:ascii="Times New Roman" w:hAnsi="Times New Roman"/>
        </w:rPr>
        <w:t>Madonas novada attīstības programmas 2013.-2020.gadam</w:t>
      </w:r>
      <w:r w:rsidRPr="006B4981">
        <w:rPr>
          <w:rFonts w:ascii="Times New Roman" w:hAnsi="Times New Roman"/>
        </w:rPr>
        <w:t xml:space="preserve"> izstrādi tika veikts tā</w:t>
      </w:r>
      <w:r w:rsidR="007302C2">
        <w:rPr>
          <w:rFonts w:ascii="Times New Roman" w:hAnsi="Times New Roman"/>
        </w:rPr>
        <w:t>s</w:t>
      </w:r>
      <w:r w:rsidRPr="006B4981">
        <w:rPr>
          <w:rFonts w:ascii="Times New Roman" w:hAnsi="Times New Roman"/>
        </w:rPr>
        <w:t xml:space="preserve"> stratēģiskais ietekmes uz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vidi novērtējums, lai savlaicīgi identificētu iespējamās vides problēmas, kas saistītas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ar plānošanas dokumenta un tajā iekļauto risinājumu īstenošanu, un veiktu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labojumus plānošanas dokumentā.</w:t>
      </w:r>
    </w:p>
    <w:p w:rsidR="006B4981" w:rsidRPr="006B4981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6B4981">
        <w:rPr>
          <w:rFonts w:ascii="Times New Roman" w:hAnsi="Times New Roman"/>
        </w:rPr>
        <w:t>Stratēģiskā ietekmes uz vidi novērtējuma ietvaros tik</w:t>
      </w:r>
      <w:r w:rsidR="00A5663F">
        <w:rPr>
          <w:rFonts w:ascii="Times New Roman" w:hAnsi="Times New Roman"/>
        </w:rPr>
        <w:t>a</w:t>
      </w:r>
      <w:r w:rsidRPr="006B4981">
        <w:rPr>
          <w:rFonts w:ascii="Times New Roman" w:hAnsi="Times New Roman"/>
        </w:rPr>
        <w:t xml:space="preserve"> izstrādāts Vides pārskats, kurā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 xml:space="preserve">atspoguļots esošais vides stāvoklis </w:t>
      </w:r>
      <w:r w:rsidR="00695F77">
        <w:rPr>
          <w:rFonts w:ascii="Times New Roman" w:hAnsi="Times New Roman"/>
        </w:rPr>
        <w:t>Madon</w:t>
      </w:r>
      <w:r w:rsidR="00A5663F">
        <w:rPr>
          <w:rFonts w:ascii="Times New Roman" w:hAnsi="Times New Roman"/>
        </w:rPr>
        <w:t>as</w:t>
      </w:r>
      <w:r w:rsidR="001C3BB9">
        <w:rPr>
          <w:rFonts w:ascii="Times New Roman" w:hAnsi="Times New Roman"/>
        </w:rPr>
        <w:t xml:space="preserve"> novadā</w:t>
      </w:r>
      <w:r w:rsidRPr="006B4981">
        <w:rPr>
          <w:rFonts w:ascii="Times New Roman" w:hAnsi="Times New Roman"/>
        </w:rPr>
        <w:t>, ar plānošanas dokumenta īstenošanu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saistītās vides problēmas un būtiskās ietekmes uz vidi novērtējums, piedāvāti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risinājumi būtisko ietekmju novēršanai un samazināšanai, alternatīvu izvēles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pamatojums un izvērtējums.</w:t>
      </w:r>
    </w:p>
    <w:p w:rsidR="006B4981" w:rsidRPr="006B4981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6B4981">
        <w:rPr>
          <w:rFonts w:ascii="Times New Roman" w:hAnsi="Times New Roman"/>
        </w:rPr>
        <w:t>Vides pārskatā iekļautie risinājumi būtisko ietekmju novēršanai un samazināšanai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ņemti vērā plānošanas dokumenta izstrādes laikā.</w:t>
      </w:r>
    </w:p>
    <w:p w:rsidR="006B4981" w:rsidRDefault="006B4981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</w:rPr>
      </w:pPr>
    </w:p>
    <w:p w:rsidR="006B4981" w:rsidRPr="006B4981" w:rsidRDefault="006B4981" w:rsidP="00B22CA4">
      <w:pPr>
        <w:autoSpaceDE w:val="0"/>
        <w:autoSpaceDN w:val="0"/>
        <w:adjustRightInd w:val="0"/>
        <w:spacing w:before="0" w:after="120"/>
        <w:jc w:val="left"/>
        <w:rPr>
          <w:rFonts w:ascii="Times New Roman" w:hAnsi="Times New Roman"/>
          <w:b/>
          <w:bCs/>
        </w:rPr>
      </w:pPr>
      <w:r w:rsidRPr="006B4981">
        <w:rPr>
          <w:rFonts w:ascii="Times New Roman" w:hAnsi="Times New Roman"/>
          <w:b/>
          <w:bCs/>
        </w:rPr>
        <w:t>Izteiktie atzinumi un sabiedriskās apspriešanas rezultāti</w:t>
      </w:r>
    </w:p>
    <w:p w:rsidR="006B4981" w:rsidRPr="006B4981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6B4981">
        <w:rPr>
          <w:rFonts w:ascii="Times New Roman" w:hAnsi="Times New Roman"/>
        </w:rPr>
        <w:t xml:space="preserve">Vides pārskata projekts </w:t>
      </w:r>
      <w:r w:rsidRPr="00566D0D">
        <w:rPr>
          <w:rFonts w:ascii="Times New Roman" w:hAnsi="Times New Roman"/>
        </w:rPr>
        <w:t xml:space="preserve">no 2012.gada </w:t>
      </w:r>
      <w:r w:rsidR="00566D0D" w:rsidRPr="00566D0D">
        <w:rPr>
          <w:rFonts w:ascii="Times New Roman" w:hAnsi="Times New Roman"/>
        </w:rPr>
        <w:t>13</w:t>
      </w:r>
      <w:r w:rsidRPr="00566D0D">
        <w:rPr>
          <w:rFonts w:ascii="Times New Roman" w:hAnsi="Times New Roman"/>
        </w:rPr>
        <w:t>.</w:t>
      </w:r>
      <w:r w:rsidR="00566D0D" w:rsidRPr="00566D0D">
        <w:rPr>
          <w:rFonts w:ascii="Times New Roman" w:hAnsi="Times New Roman"/>
        </w:rPr>
        <w:t>augusta</w:t>
      </w:r>
      <w:r w:rsidRPr="00566D0D">
        <w:rPr>
          <w:rFonts w:ascii="Times New Roman" w:hAnsi="Times New Roman"/>
        </w:rPr>
        <w:t xml:space="preserve"> līdz 2012.gada </w:t>
      </w:r>
      <w:r w:rsidR="00566D0D" w:rsidRPr="00566D0D">
        <w:rPr>
          <w:rFonts w:ascii="Times New Roman" w:hAnsi="Times New Roman"/>
        </w:rPr>
        <w:t>26</w:t>
      </w:r>
      <w:r w:rsidRPr="00566D0D">
        <w:rPr>
          <w:rFonts w:ascii="Times New Roman" w:hAnsi="Times New Roman"/>
        </w:rPr>
        <w:t>.</w:t>
      </w:r>
      <w:r w:rsidR="00566D0D" w:rsidRPr="00566D0D">
        <w:rPr>
          <w:rFonts w:ascii="Times New Roman" w:hAnsi="Times New Roman"/>
        </w:rPr>
        <w:t>septembrim</w:t>
      </w:r>
      <w:r w:rsidRPr="006B4981">
        <w:rPr>
          <w:rFonts w:ascii="Times New Roman" w:hAnsi="Times New Roman"/>
        </w:rPr>
        <w:t xml:space="preserve"> tika nodots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>sabiedriskajai apspriešanai un iesniegts šādām institūcijām – Valsts vides dienesta</w:t>
      </w:r>
      <w:r>
        <w:rPr>
          <w:rFonts w:ascii="Times New Roman" w:hAnsi="Times New Roman"/>
        </w:rPr>
        <w:t xml:space="preserve"> </w:t>
      </w:r>
      <w:r w:rsidR="00A5663F">
        <w:rPr>
          <w:rFonts w:ascii="Times New Roman" w:hAnsi="Times New Roman"/>
        </w:rPr>
        <w:t>Madonas</w:t>
      </w:r>
      <w:r w:rsidRPr="006B4981">
        <w:rPr>
          <w:rFonts w:ascii="Times New Roman" w:hAnsi="Times New Roman"/>
        </w:rPr>
        <w:t xml:space="preserve"> reģionāl</w:t>
      </w:r>
      <w:r w:rsidR="009E722E">
        <w:rPr>
          <w:rFonts w:ascii="Times New Roman" w:hAnsi="Times New Roman"/>
        </w:rPr>
        <w:t>ajai</w:t>
      </w:r>
      <w:r w:rsidRPr="006B4981">
        <w:rPr>
          <w:rFonts w:ascii="Times New Roman" w:hAnsi="Times New Roman"/>
        </w:rPr>
        <w:t xml:space="preserve"> vides pārvaldei, Dabas aizsardzības pārvaldei, Veselības</w:t>
      </w:r>
      <w:r>
        <w:rPr>
          <w:rFonts w:ascii="Times New Roman" w:hAnsi="Times New Roman"/>
        </w:rPr>
        <w:t xml:space="preserve"> </w:t>
      </w:r>
      <w:r w:rsidRPr="006B4981">
        <w:rPr>
          <w:rFonts w:ascii="Times New Roman" w:hAnsi="Times New Roman"/>
        </w:rPr>
        <w:t xml:space="preserve">inspekcijas </w:t>
      </w:r>
      <w:r w:rsidR="00A5663F">
        <w:rPr>
          <w:rFonts w:ascii="Times New Roman" w:hAnsi="Times New Roman"/>
        </w:rPr>
        <w:t>Vidzemes</w:t>
      </w:r>
      <w:r w:rsidRPr="006B4981">
        <w:rPr>
          <w:rFonts w:ascii="Times New Roman" w:hAnsi="Times New Roman"/>
        </w:rPr>
        <w:t xml:space="preserve"> kontroles nodaļai</w:t>
      </w:r>
      <w:r w:rsidR="009E722E">
        <w:rPr>
          <w:rFonts w:ascii="Times New Roman" w:hAnsi="Times New Roman"/>
        </w:rPr>
        <w:t xml:space="preserve">, </w:t>
      </w:r>
      <w:r w:rsidR="00A5663F">
        <w:rPr>
          <w:rFonts w:ascii="Times New Roman" w:hAnsi="Times New Roman"/>
        </w:rPr>
        <w:t>Vidzemes</w:t>
      </w:r>
      <w:r w:rsidR="009E722E">
        <w:rPr>
          <w:rFonts w:ascii="Times New Roman" w:hAnsi="Times New Roman"/>
        </w:rPr>
        <w:t xml:space="preserve"> plānošanas reģiona administrācijai</w:t>
      </w:r>
      <w:r w:rsidRPr="006B4981">
        <w:rPr>
          <w:rFonts w:ascii="Times New Roman" w:hAnsi="Times New Roman"/>
        </w:rPr>
        <w:t>.</w:t>
      </w:r>
    </w:p>
    <w:p w:rsidR="006B4981" w:rsidRDefault="006B4981" w:rsidP="006B4981">
      <w:pPr>
        <w:autoSpaceDE w:val="0"/>
        <w:autoSpaceDN w:val="0"/>
        <w:adjustRightInd w:val="0"/>
        <w:spacing w:before="0" w:after="0"/>
        <w:rPr>
          <w:rFonts w:cs="Calibri"/>
          <w:color w:val="000000"/>
        </w:rPr>
      </w:pPr>
      <w:r w:rsidRPr="006B4981">
        <w:rPr>
          <w:rFonts w:ascii="Times New Roman" w:hAnsi="Times New Roman"/>
        </w:rPr>
        <w:t>Tabulā apkopot</w:t>
      </w:r>
      <w:r w:rsidR="00B22CA4">
        <w:rPr>
          <w:rFonts w:ascii="Times New Roman" w:hAnsi="Times New Roman"/>
        </w:rPr>
        <w:t>as</w:t>
      </w:r>
      <w:r w:rsidRPr="006B4981">
        <w:rPr>
          <w:rFonts w:ascii="Times New Roman" w:hAnsi="Times New Roman"/>
        </w:rPr>
        <w:t xml:space="preserve"> saņemtās rekomendācijas un priekšlikumi</w:t>
      </w:r>
      <w:r>
        <w:rPr>
          <w:rFonts w:cs="Calibri"/>
          <w:color w:val="000000"/>
        </w:rPr>
        <w:t>.</w:t>
      </w:r>
    </w:p>
    <w:p w:rsidR="006B4981" w:rsidRPr="00B22CA4" w:rsidRDefault="006B4981" w:rsidP="006B4981">
      <w:pPr>
        <w:autoSpaceDE w:val="0"/>
        <w:autoSpaceDN w:val="0"/>
        <w:adjustRightInd w:val="0"/>
        <w:spacing w:before="0" w:after="0"/>
        <w:ind w:firstLine="720"/>
        <w:jc w:val="left"/>
        <w:rPr>
          <w:rFonts w:cs="Calibri"/>
          <w:b/>
          <w:color w:val="000000"/>
          <w:sz w:val="16"/>
          <w:szCs w:val="1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2441"/>
      </w:tblGrid>
      <w:tr w:rsidR="006B4981" w:rsidRPr="002C226E" w:rsidTr="00B22CA4">
        <w:trPr>
          <w:trHeight w:val="333"/>
          <w:tblHeader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E6E6E6"/>
          </w:tcPr>
          <w:p w:rsidR="006B4981" w:rsidRPr="002C226E" w:rsidRDefault="006B4981" w:rsidP="00C17530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C226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Komentārs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6E6E6"/>
          </w:tcPr>
          <w:p w:rsidR="006B4981" w:rsidRPr="002C226E" w:rsidRDefault="006B4981" w:rsidP="00C17530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C226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Atbilde</w:t>
            </w:r>
          </w:p>
        </w:tc>
      </w:tr>
      <w:tr w:rsidR="006B4981" w:rsidRPr="002C226E" w:rsidTr="00C17530">
        <w:tc>
          <w:tcPr>
            <w:tcW w:w="8820" w:type="dxa"/>
            <w:gridSpan w:val="2"/>
            <w:shd w:val="clear" w:color="auto" w:fill="E6E6E6"/>
          </w:tcPr>
          <w:p w:rsidR="006B4981" w:rsidRPr="002C226E" w:rsidRDefault="006B4981" w:rsidP="00A5663F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2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Valsts vides dienesta </w:t>
            </w:r>
            <w:r w:rsidR="00A5663F">
              <w:rPr>
                <w:rFonts w:ascii="Times New Roman" w:hAnsi="Times New Roman"/>
                <w:b/>
                <w:bCs/>
                <w:sz w:val="22"/>
                <w:szCs w:val="22"/>
              </w:rPr>
              <w:t>Madonas</w:t>
            </w:r>
            <w:r w:rsidRPr="002C22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reģionālā vides pārvalde</w:t>
            </w:r>
          </w:p>
        </w:tc>
      </w:tr>
      <w:tr w:rsidR="000A33B5" w:rsidRPr="002C226E" w:rsidTr="0054396E">
        <w:tc>
          <w:tcPr>
            <w:tcW w:w="6379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3.8.nodaļā precizēt, ka 2009.g.izveidots dabas liegums “Lubāna mitrājs”, kurā apvienoti 12 bijušie dabas liegumi.</w:t>
            </w:r>
          </w:p>
        </w:tc>
        <w:tc>
          <w:tcPr>
            <w:tcW w:w="2441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Veikti precizējumi 3.8.nodaļā.</w:t>
            </w:r>
          </w:p>
        </w:tc>
      </w:tr>
      <w:tr w:rsidR="000A33B5" w:rsidRPr="002C226E" w:rsidTr="0054396E">
        <w:tc>
          <w:tcPr>
            <w:tcW w:w="6379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Koriģēt informāciju 5.tabulā.</w:t>
            </w:r>
          </w:p>
        </w:tc>
        <w:tc>
          <w:tcPr>
            <w:tcW w:w="2441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Informācija ir koriģēta 5.tabulā 3.11.2.nodaļā.</w:t>
            </w:r>
          </w:p>
        </w:tc>
      </w:tr>
      <w:tr w:rsidR="000A33B5" w:rsidRPr="002C226E" w:rsidTr="00C17530">
        <w:trPr>
          <w:cantSplit/>
        </w:trPr>
        <w:tc>
          <w:tcPr>
            <w:tcW w:w="8820" w:type="dxa"/>
            <w:gridSpan w:val="2"/>
            <w:shd w:val="clear" w:color="auto" w:fill="E0E0E0"/>
            <w:vAlign w:val="center"/>
          </w:tcPr>
          <w:p w:rsidR="000A33B5" w:rsidRPr="002C226E" w:rsidRDefault="000A33B5" w:rsidP="00A5663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2C226E">
              <w:rPr>
                <w:rFonts w:ascii="Times New Roman" w:hAnsi="Times New Roman"/>
                <w:b/>
                <w:bCs/>
                <w:sz w:val="22"/>
                <w:szCs w:val="22"/>
              </w:rPr>
              <w:t>Dabas aizsardzības pārvalde</w:t>
            </w:r>
          </w:p>
        </w:tc>
      </w:tr>
      <w:tr w:rsidR="000A33B5" w:rsidRPr="002C226E" w:rsidTr="007C4A52">
        <w:tc>
          <w:tcPr>
            <w:tcW w:w="6379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Sadaļā “Novada esošā stāvokļa apraksts” Teiču DR norādāms kā lielākais augstā tipa purvs. Koriģēt informāciju par ĪADT pagastos – dabas pieminekļi arī ir ĪADT.</w:t>
            </w:r>
          </w:p>
        </w:tc>
        <w:tc>
          <w:tcPr>
            <w:tcW w:w="2441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 xml:space="preserve">Veikti </w:t>
            </w:r>
            <w:r w:rsidRPr="000A33B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labojumi 3.8.nodaļā.</w:t>
            </w:r>
          </w:p>
        </w:tc>
      </w:tr>
      <w:tr w:rsidR="000A33B5" w:rsidRPr="002C226E" w:rsidTr="00246D1E">
        <w:tc>
          <w:tcPr>
            <w:tcW w:w="6379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Koriģēt informāciju par ĪADT un to kategorijām Madonas novadā</w:t>
            </w:r>
          </w:p>
        </w:tc>
        <w:tc>
          <w:tcPr>
            <w:tcW w:w="2441" w:type="dxa"/>
          </w:tcPr>
          <w:p w:rsidR="000A33B5" w:rsidRPr="000A33B5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0A33B5">
              <w:rPr>
                <w:rFonts w:ascii="Times New Roman" w:hAnsi="Times New Roman"/>
                <w:sz w:val="22"/>
                <w:szCs w:val="22"/>
              </w:rPr>
              <w:t>Veikti papildinājumi 3.8.nodaļā, 2.un 6.tabulā atbilstoši komentāram.</w:t>
            </w:r>
          </w:p>
        </w:tc>
      </w:tr>
      <w:tr w:rsidR="000A33B5" w:rsidRPr="002C226E" w:rsidTr="00006F7A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 xml:space="preserve">Tabulā varētu būt piebilde pie DL Gaiziņkalns, DL Ilziņa ezers un DL Kāla ezera salas, ka šīs 3 teritorijas ir </w:t>
            </w:r>
            <w:proofErr w:type="gramStart"/>
            <w:r w:rsidRPr="00566D0D">
              <w:rPr>
                <w:rFonts w:ascii="Times New Roman" w:hAnsi="Times New Roman"/>
                <w:sz w:val="22"/>
                <w:szCs w:val="22"/>
              </w:rPr>
              <w:t>iekļautas AAA “Vestiena” sastāvā</w:t>
            </w:r>
            <w:proofErr w:type="gramEnd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. Tabulā nav iekļauts DL “Lubāna mitrājs”. </w:t>
            </w:r>
            <w:proofErr w:type="spellStart"/>
            <w:r w:rsidRPr="00566D0D">
              <w:rPr>
                <w:rFonts w:ascii="Times New Roman" w:hAnsi="Times New Roman"/>
                <w:sz w:val="22"/>
                <w:szCs w:val="22"/>
              </w:rPr>
              <w:t>Driksnas</w:t>
            </w:r>
            <w:proofErr w:type="spellEnd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 sils ir dabas parks.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3.8.nodaļā 2.tabulā veikti labojumi atbilstoši komentāram.</w:t>
            </w:r>
          </w:p>
        </w:tc>
      </w:tr>
      <w:tr w:rsidR="000A33B5" w:rsidRPr="002C226E" w:rsidTr="00F424B4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 xml:space="preserve">ĪADT apskata nodaļā Teiču DR raksturojums ir izsakāms sekojošā </w:t>
            </w:r>
            <w:r w:rsidRPr="00566D0D">
              <w:rPr>
                <w:rFonts w:ascii="Times New Roman" w:hAnsi="Times New Roman"/>
                <w:sz w:val="22"/>
                <w:szCs w:val="22"/>
              </w:rPr>
              <w:lastRenderedPageBreak/>
              <w:t>redakcijā”.....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Veikti labojumi </w:t>
            </w:r>
            <w:r w:rsidRPr="00566D0D">
              <w:rPr>
                <w:rFonts w:ascii="Times New Roman" w:hAnsi="Times New Roman"/>
                <w:sz w:val="22"/>
                <w:szCs w:val="22"/>
              </w:rPr>
              <w:lastRenderedPageBreak/>
              <w:t>3.8.nodaļā un 2.tabulā atbilstoši komentāram- Teiču dabas rezervāta aprakstā precizēta tā platība, apraksts papildināts ar detalizētāku</w:t>
            </w:r>
            <w:proofErr w:type="gramStart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informāciju par iekļaušanu </w:t>
            </w:r>
            <w:proofErr w:type="spellStart"/>
            <w:r w:rsidRPr="00566D0D">
              <w:rPr>
                <w:rFonts w:ascii="Times New Roman" w:hAnsi="Times New Roman"/>
                <w:sz w:val="22"/>
                <w:szCs w:val="22"/>
              </w:rPr>
              <w:t>Ramsāres</w:t>
            </w:r>
            <w:proofErr w:type="spellEnd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 konvencijas teritorijā, kā arī ar informāciju par LR likumu ”Teiču dabas rezervāta likums”.</w:t>
            </w:r>
          </w:p>
        </w:tc>
      </w:tr>
      <w:tr w:rsidR="000A33B5" w:rsidRPr="002C226E" w:rsidTr="002909AF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lastRenderedPageBreak/>
              <w:t>Krustkalnu DR un Kujas dabas parkam jākoriģē teritorijas platība.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Veikti labojumi 3.8.nodaļā atbilstoši komentāram.</w:t>
            </w:r>
          </w:p>
        </w:tc>
      </w:tr>
      <w:tr w:rsidR="000A33B5" w:rsidRPr="002C226E" w:rsidTr="002909AF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Norādīt arī darbības, kuru veikšana ir pieļaujama ar DAP rakstisku atļauju. Pārējās ĪADT nav norādāmas nodaļā par aizsargjoslām.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Veikti labojumi 4.6.nodaļā atbilstoši komentāram.</w:t>
            </w:r>
          </w:p>
        </w:tc>
      </w:tr>
      <w:tr w:rsidR="000A33B5" w:rsidRPr="002C226E" w:rsidTr="002909AF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Tabulās vai aprakstos, kur raksturotas ĪADT, būtu vēlams norādīt teritoriju spēkā esošos individuālos aizsardzības un izmantošanas noteikumus, ja tādi ir, kā arī funkcionālā zonējuma esamību, ja tādi ir.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Veikti papildinājumi 3.8.nodaļā, 2. un 6.tabulā atbilstoši komentāram.</w:t>
            </w:r>
          </w:p>
        </w:tc>
      </w:tr>
      <w:tr w:rsidR="000A33B5" w:rsidRPr="002C226E" w:rsidTr="00C17530">
        <w:trPr>
          <w:cantSplit/>
        </w:trPr>
        <w:tc>
          <w:tcPr>
            <w:tcW w:w="8820" w:type="dxa"/>
            <w:gridSpan w:val="2"/>
            <w:shd w:val="clear" w:color="auto" w:fill="E0E0E0"/>
            <w:vAlign w:val="center"/>
          </w:tcPr>
          <w:p w:rsidR="000A33B5" w:rsidRPr="00566D0D" w:rsidRDefault="000A33B5" w:rsidP="00C1753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6D0D">
              <w:rPr>
                <w:rFonts w:ascii="Times New Roman" w:hAnsi="Times New Roman"/>
                <w:b/>
                <w:sz w:val="22"/>
                <w:szCs w:val="22"/>
              </w:rPr>
              <w:t>Vidzemes plānošanas reģiona administrācija</w:t>
            </w:r>
          </w:p>
        </w:tc>
      </w:tr>
      <w:tr w:rsidR="000A33B5" w:rsidRPr="002C226E" w:rsidTr="00C17530"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0A33B5" w:rsidRPr="00566D0D" w:rsidRDefault="000A33B5" w:rsidP="00C17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Nav iebildumu attīstības programmas vides pārskata projekta risinājumiem.</w:t>
            </w:r>
          </w:p>
          <w:p w:rsidR="000A33B5" w:rsidRPr="00566D0D" w:rsidRDefault="000A33B5" w:rsidP="00C17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33B5" w:rsidRPr="002C226E" w:rsidTr="00C17530">
        <w:trPr>
          <w:cantSplit/>
        </w:trPr>
        <w:tc>
          <w:tcPr>
            <w:tcW w:w="8820" w:type="dxa"/>
            <w:gridSpan w:val="2"/>
            <w:shd w:val="clear" w:color="auto" w:fill="E0E0E0"/>
            <w:vAlign w:val="center"/>
          </w:tcPr>
          <w:p w:rsidR="000A33B5" w:rsidRPr="00566D0D" w:rsidRDefault="000A33B5" w:rsidP="00A566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6D0D">
              <w:rPr>
                <w:rFonts w:ascii="Times New Roman" w:hAnsi="Times New Roman"/>
                <w:b/>
                <w:sz w:val="22"/>
                <w:szCs w:val="22"/>
              </w:rPr>
              <w:t>Veselības inspekcijas Vidzemes kontroles nodaļa</w:t>
            </w:r>
          </w:p>
        </w:tc>
      </w:tr>
      <w:tr w:rsidR="000A33B5" w:rsidRPr="002C226E" w:rsidTr="00C17530"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0A33B5" w:rsidRPr="00566D0D" w:rsidRDefault="000A33B5" w:rsidP="00C17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Nav iebildumu attīstības programmas vides pārskata projekta risinājumiem.</w:t>
            </w:r>
          </w:p>
          <w:p w:rsidR="000A33B5" w:rsidRPr="00566D0D" w:rsidRDefault="000A33B5" w:rsidP="00C17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33B5" w:rsidRPr="002C226E" w:rsidTr="00C17530">
        <w:trPr>
          <w:cantSplit/>
        </w:trPr>
        <w:tc>
          <w:tcPr>
            <w:tcW w:w="8820" w:type="dxa"/>
            <w:gridSpan w:val="2"/>
            <w:shd w:val="clear" w:color="auto" w:fill="E0E0E0"/>
            <w:vAlign w:val="center"/>
          </w:tcPr>
          <w:p w:rsidR="000A33B5" w:rsidRPr="00566D0D" w:rsidRDefault="000A33B5" w:rsidP="00C175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0D">
              <w:rPr>
                <w:rFonts w:ascii="Times New Roman" w:hAnsi="Times New Roman"/>
                <w:b/>
                <w:sz w:val="22"/>
                <w:szCs w:val="22"/>
              </w:rPr>
              <w:t>SIA „Hercogiste” iesūtīta vēstule</w:t>
            </w:r>
          </w:p>
        </w:tc>
      </w:tr>
      <w:tr w:rsidR="000A33B5" w:rsidRPr="002C226E" w:rsidTr="008B351B">
        <w:tc>
          <w:tcPr>
            <w:tcW w:w="6379" w:type="dxa"/>
            <w:tcBorders>
              <w:bottom w:val="single" w:sz="4" w:space="0" w:color="auto"/>
            </w:tcBorders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Pretrunas starp AP un VP, jo VP minēts Madonas RVP viedoklis, ka novads nav labvēlīga teritorija vēja enerģijas izmantošanai, bet AP vēja enerģijas izmantošana ir pieskaitīta pie novada stiprajām pusēm.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Koriģēts 3.10.nodaļā, novērsta pretruna.</w:t>
            </w:r>
          </w:p>
        </w:tc>
      </w:tr>
      <w:tr w:rsidR="000A33B5" w:rsidRPr="002C226E" w:rsidTr="000A33B5"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3B5" w:rsidRPr="00566D0D" w:rsidRDefault="000A33B5" w:rsidP="000A33B5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0D">
              <w:rPr>
                <w:rFonts w:ascii="Times New Roman" w:hAnsi="Times New Roman"/>
                <w:b/>
                <w:sz w:val="22"/>
                <w:szCs w:val="22"/>
              </w:rPr>
              <w:t>Sabiedriskās apspriešanas sanāksmēs saņemtie komentāri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Tekstā minēta DL “Lubāna ieplaka”, bet vai nav domāts “Lubāna mitrājs”?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Tekstā veikti attiecīgi labojumi uz DL „Lubāna mitrājs”.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Saukas purva kūdras atradnes zeme pieder LVM, kuru iznomā kūdras ieguvējam “Saukas kūdra”.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Veikts papildinājums 3.3.nodaļā.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Vai Lubāna ezera hidrotehniskā sistēma ierīkota 1985.gadā? Vajadzētu precizēt.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Gads ir korekts.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Vajadzētu precizēt informāciju par DL “Lubāna mitrājs”, kā arī norādīt, kādi MK noteikumi nosaka dabas liegumu izveidošanu un zonējumu.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Veikti precizējumi 3.8.nodaļā.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 xml:space="preserve">Ezers </w:t>
            </w:r>
            <w:proofErr w:type="spellStart"/>
            <w:r w:rsidRPr="00566D0D">
              <w:rPr>
                <w:rFonts w:ascii="Times New Roman" w:hAnsi="Times New Roman"/>
                <w:sz w:val="22"/>
                <w:szCs w:val="22"/>
              </w:rPr>
              <w:t>Sudārdiņš</w:t>
            </w:r>
            <w:proofErr w:type="spellEnd"/>
            <w:r w:rsidRPr="00566D0D">
              <w:rPr>
                <w:rFonts w:ascii="Times New Roman" w:hAnsi="Times New Roman"/>
                <w:sz w:val="22"/>
                <w:szCs w:val="22"/>
              </w:rPr>
              <w:t xml:space="preserve"> atrodas Vestienas pagastā, bet ne Bērzaunes pagastā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 xml:space="preserve">Veikts labojums 4.1.nodaļā. 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Aizstāt terminu “zemes transformācija” ar “zemes lietošanas mērķa maiņa”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Veikts labojums 3.10.nodaļā.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lastRenderedPageBreak/>
              <w:t>Ierosinājums AAA “Vestiena” dabas parka teritorijā atļaut zemes īpašumus dalīt zemes vienībās, kas mazākas par 10 ha.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Komentārs attiecas uz Teritorijas plānojumu.</w:t>
            </w:r>
          </w:p>
        </w:tc>
      </w:tr>
      <w:tr w:rsidR="000A33B5" w:rsidRPr="002C226E" w:rsidTr="00F4133B">
        <w:tc>
          <w:tcPr>
            <w:tcW w:w="6379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Tekstā minēta “Liezere”, bet pareizi ir “Liezēre”.</w:t>
            </w:r>
          </w:p>
        </w:tc>
        <w:tc>
          <w:tcPr>
            <w:tcW w:w="2441" w:type="dxa"/>
          </w:tcPr>
          <w:p w:rsidR="000A33B5" w:rsidRPr="00566D0D" w:rsidRDefault="000A33B5" w:rsidP="00916EBA">
            <w:pPr>
              <w:rPr>
                <w:rFonts w:ascii="Times New Roman" w:hAnsi="Times New Roman"/>
                <w:sz w:val="22"/>
                <w:szCs w:val="22"/>
              </w:rPr>
            </w:pPr>
            <w:r w:rsidRPr="00566D0D">
              <w:rPr>
                <w:rFonts w:ascii="Times New Roman" w:hAnsi="Times New Roman"/>
                <w:sz w:val="22"/>
                <w:szCs w:val="22"/>
              </w:rPr>
              <w:t>Tekstā veikti labojumi.</w:t>
            </w:r>
          </w:p>
        </w:tc>
      </w:tr>
    </w:tbl>
    <w:p w:rsidR="006B4981" w:rsidRDefault="006B4981" w:rsidP="006B4981">
      <w:pPr>
        <w:autoSpaceDE w:val="0"/>
        <w:autoSpaceDN w:val="0"/>
        <w:adjustRightInd w:val="0"/>
        <w:spacing w:before="0" w:after="0"/>
        <w:ind w:firstLine="720"/>
        <w:jc w:val="left"/>
        <w:rPr>
          <w:rFonts w:cs="Calibri"/>
          <w:b/>
          <w:color w:val="000000"/>
        </w:rPr>
      </w:pPr>
    </w:p>
    <w:p w:rsidR="006B4981" w:rsidRPr="006B4981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</w:p>
    <w:p w:rsidR="006B4981" w:rsidRPr="006B4981" w:rsidRDefault="006B4981" w:rsidP="00B22CA4">
      <w:pPr>
        <w:autoSpaceDE w:val="0"/>
        <w:autoSpaceDN w:val="0"/>
        <w:adjustRightInd w:val="0"/>
        <w:spacing w:before="0" w:after="120"/>
        <w:rPr>
          <w:rFonts w:ascii="Times New Roman" w:hAnsi="Times New Roman"/>
          <w:b/>
        </w:rPr>
      </w:pPr>
      <w:r w:rsidRPr="006B4981">
        <w:rPr>
          <w:rFonts w:ascii="Times New Roman" w:hAnsi="Times New Roman"/>
          <w:b/>
        </w:rPr>
        <w:t>Pamatojums, kāpēc no visiem iespējamiem risinājuma variantiem izraudzīts</w:t>
      </w:r>
      <w:r w:rsidR="00B22CA4">
        <w:rPr>
          <w:rFonts w:ascii="Times New Roman" w:hAnsi="Times New Roman"/>
          <w:b/>
        </w:rPr>
        <w:t xml:space="preserve"> </w:t>
      </w:r>
      <w:r w:rsidRPr="006B4981">
        <w:rPr>
          <w:rFonts w:ascii="Times New Roman" w:hAnsi="Times New Roman"/>
          <w:b/>
        </w:rPr>
        <w:t>pieņemtais variants</w:t>
      </w:r>
    </w:p>
    <w:p w:rsidR="001C3BB9" w:rsidRPr="001C3BB9" w:rsidRDefault="001C3BB9" w:rsidP="001C3BB9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1C3BB9">
        <w:rPr>
          <w:rFonts w:ascii="Times New Roman" w:hAnsi="Times New Roman"/>
        </w:rPr>
        <w:t xml:space="preserve">Tā kā attīstības programmai nav paredzētas alternatīvas, tad veicot </w:t>
      </w:r>
      <w:r w:rsidR="00695F77">
        <w:rPr>
          <w:rFonts w:ascii="Times New Roman" w:hAnsi="Times New Roman"/>
        </w:rPr>
        <w:t>Madona</w:t>
      </w:r>
      <w:r w:rsidR="00A5663F">
        <w:rPr>
          <w:rFonts w:ascii="Times New Roman" w:hAnsi="Times New Roman"/>
        </w:rPr>
        <w:t>s</w:t>
      </w:r>
      <w:r w:rsidRPr="001C3BB9">
        <w:rPr>
          <w:rFonts w:ascii="Times New Roman" w:hAnsi="Times New Roman"/>
        </w:rPr>
        <w:t xml:space="preserve"> novada attīstības programmas stratēģisko ietekmes uz vidi novērtējumu un izstrādājot vides pārskatu, ir izvēlēta un novērtēta tā saucamā nulles alternatīva, t.i., attīstības programma netiek izstrādāta. </w:t>
      </w:r>
    </w:p>
    <w:p w:rsidR="001C3BB9" w:rsidRPr="001C3BB9" w:rsidRDefault="001C3BB9" w:rsidP="001C3BB9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1C3BB9">
        <w:rPr>
          <w:rFonts w:ascii="Times New Roman" w:hAnsi="Times New Roman"/>
        </w:rPr>
        <w:t xml:space="preserve">Tomēr šī </w:t>
      </w:r>
      <w:r w:rsidR="00A5663F">
        <w:rPr>
          <w:rFonts w:ascii="Times New Roman" w:hAnsi="Times New Roman"/>
        </w:rPr>
        <w:t>„nulles”</w:t>
      </w:r>
      <w:r w:rsidR="000A33B5">
        <w:rPr>
          <w:rFonts w:ascii="Times New Roman" w:hAnsi="Times New Roman"/>
        </w:rPr>
        <w:t xml:space="preserve"> </w:t>
      </w:r>
      <w:r w:rsidRPr="001C3BB9">
        <w:rPr>
          <w:rFonts w:ascii="Times New Roman" w:hAnsi="Times New Roman"/>
        </w:rPr>
        <w:t xml:space="preserve">alternatīva nav uzskatāma par optimālu, jo attīstības programmas </w:t>
      </w:r>
      <w:r w:rsidRPr="000A33B5">
        <w:rPr>
          <w:rFonts w:ascii="Times New Roman" w:hAnsi="Times New Roman"/>
        </w:rPr>
        <w:t xml:space="preserve">neizstrādāšanas gadījumā, tiks kavēta novada ekonomiskā attīstība un sociālo problēmu risināšana. </w:t>
      </w:r>
      <w:r w:rsidR="000A33B5" w:rsidRPr="000A33B5">
        <w:rPr>
          <w:rFonts w:ascii="Times New Roman" w:hAnsi="Times New Roman"/>
        </w:rPr>
        <w:t>Tā r</w:t>
      </w:r>
      <w:r w:rsidRPr="000A33B5">
        <w:rPr>
          <w:rFonts w:ascii="Times New Roman" w:hAnsi="Times New Roman"/>
        </w:rPr>
        <w:t xml:space="preserve">ezultātā var tikt </w:t>
      </w:r>
      <w:r w:rsidR="000A33B5" w:rsidRPr="000A33B5">
        <w:rPr>
          <w:rFonts w:ascii="Times New Roman" w:hAnsi="Times New Roman"/>
        </w:rPr>
        <w:t>veikta nepārdomāta, no ilgtermiņa skatījuma neplānota un haotiska būvniecība, kavēta</w:t>
      </w:r>
      <w:r w:rsidRPr="000A33B5">
        <w:rPr>
          <w:rFonts w:ascii="Times New Roman" w:hAnsi="Times New Roman"/>
        </w:rPr>
        <w:t xml:space="preserve"> satiksmes, ūdens</w:t>
      </w:r>
      <w:r w:rsidR="000A33B5" w:rsidRPr="000A33B5">
        <w:rPr>
          <w:rFonts w:ascii="Times New Roman" w:hAnsi="Times New Roman"/>
        </w:rPr>
        <w:t xml:space="preserve">apgādes un kanalizācijas tīklu, tūrisma infrastruktūras </w:t>
      </w:r>
      <w:r w:rsidRPr="000A33B5">
        <w:rPr>
          <w:rFonts w:ascii="Times New Roman" w:hAnsi="Times New Roman"/>
        </w:rPr>
        <w:t xml:space="preserve">u.c. </w:t>
      </w:r>
      <w:r w:rsidR="000A33B5" w:rsidRPr="000A33B5">
        <w:rPr>
          <w:rFonts w:ascii="Times New Roman" w:hAnsi="Times New Roman"/>
        </w:rPr>
        <w:t xml:space="preserve">jomu </w:t>
      </w:r>
      <w:r w:rsidRPr="000A33B5">
        <w:rPr>
          <w:rFonts w:ascii="Times New Roman" w:hAnsi="Times New Roman"/>
        </w:rPr>
        <w:t>attīstība</w:t>
      </w:r>
      <w:r w:rsidR="000A33B5" w:rsidRPr="000A33B5">
        <w:rPr>
          <w:rFonts w:ascii="Times New Roman" w:hAnsi="Times New Roman"/>
        </w:rPr>
        <w:t>,</w:t>
      </w:r>
      <w:r w:rsidRPr="000A33B5">
        <w:rPr>
          <w:rFonts w:ascii="Times New Roman" w:hAnsi="Times New Roman"/>
        </w:rPr>
        <w:t xml:space="preserve"> </w:t>
      </w:r>
      <w:r w:rsidR="000A33B5" w:rsidRPr="000A33B5">
        <w:rPr>
          <w:rFonts w:ascii="Times New Roman" w:hAnsi="Times New Roman"/>
        </w:rPr>
        <w:t>k</w:t>
      </w:r>
      <w:r w:rsidRPr="000A33B5">
        <w:rPr>
          <w:rFonts w:ascii="Times New Roman" w:hAnsi="Times New Roman"/>
        </w:rPr>
        <w:t xml:space="preserve">as var </w:t>
      </w:r>
      <w:r w:rsidR="000A33B5" w:rsidRPr="000A33B5">
        <w:rPr>
          <w:rFonts w:ascii="Times New Roman" w:hAnsi="Times New Roman"/>
        </w:rPr>
        <w:t>atstāt negatīvu ietekmi uz vidi un</w:t>
      </w:r>
      <w:r w:rsidRPr="000A33B5">
        <w:rPr>
          <w:rFonts w:ascii="Times New Roman" w:hAnsi="Times New Roman"/>
        </w:rPr>
        <w:t xml:space="preserve"> iedzīvotāju dzīves kvalitāt</w:t>
      </w:r>
      <w:r w:rsidR="000A33B5" w:rsidRPr="000A33B5">
        <w:rPr>
          <w:rFonts w:ascii="Times New Roman" w:hAnsi="Times New Roman"/>
        </w:rPr>
        <w:t>i</w:t>
      </w:r>
      <w:r w:rsidRPr="000A33B5">
        <w:rPr>
          <w:rFonts w:ascii="Times New Roman" w:hAnsi="Times New Roman"/>
        </w:rPr>
        <w:t>.</w:t>
      </w:r>
    </w:p>
    <w:p w:rsidR="006B4981" w:rsidRPr="001C3BB9" w:rsidRDefault="001C3BB9" w:rsidP="001C3BB9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1C3BB9">
        <w:rPr>
          <w:rFonts w:ascii="Times New Roman" w:hAnsi="Times New Roman"/>
        </w:rPr>
        <w:t>Attīstības programma ir izstrādāta, ņemot vērā normatīvo aktu prasības, kā arī starptautiskos, nacionālos un reģionālos vides aizsardzības mērķus.</w:t>
      </w:r>
    </w:p>
    <w:p w:rsidR="006B4981" w:rsidRDefault="006B4981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</w:rPr>
      </w:pPr>
    </w:p>
    <w:p w:rsidR="006B4981" w:rsidRPr="002A0047" w:rsidRDefault="006B4981" w:rsidP="00B22CA4">
      <w:pPr>
        <w:autoSpaceDE w:val="0"/>
        <w:autoSpaceDN w:val="0"/>
        <w:adjustRightInd w:val="0"/>
        <w:spacing w:before="0" w:after="120"/>
        <w:rPr>
          <w:rFonts w:ascii="Times New Roman" w:hAnsi="Times New Roman"/>
          <w:b/>
          <w:bCs/>
        </w:rPr>
      </w:pPr>
      <w:r w:rsidRPr="002A0047">
        <w:rPr>
          <w:rFonts w:ascii="Times New Roman" w:hAnsi="Times New Roman"/>
          <w:b/>
          <w:bCs/>
        </w:rPr>
        <w:t>Pasākumi plānošanas dokumenta īstenošanas monitoringa veikšanai</w:t>
      </w:r>
    </w:p>
    <w:p w:rsidR="006B4981" w:rsidRPr="00982472" w:rsidRDefault="006B4981" w:rsidP="006B4981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 w:rsidRPr="002A0047">
        <w:rPr>
          <w:rFonts w:ascii="Times New Roman" w:hAnsi="Times New Roman"/>
        </w:rPr>
        <w:t>Atbilstoši Vides pārraudz</w:t>
      </w:r>
      <w:r w:rsidR="00B22CA4">
        <w:rPr>
          <w:rFonts w:ascii="Times New Roman" w:hAnsi="Times New Roman"/>
        </w:rPr>
        <w:t>ības valsts biroja atzinumā Nr.</w:t>
      </w:r>
      <w:r w:rsidR="00A5663F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2A0047">
        <w:rPr>
          <w:rFonts w:ascii="Times New Roman" w:hAnsi="Times New Roman"/>
        </w:rPr>
        <w:t xml:space="preserve"> noteiktajam, lai konstatētu</w:t>
      </w:r>
      <w:r>
        <w:rPr>
          <w:rFonts w:ascii="Times New Roman" w:hAnsi="Times New Roman"/>
        </w:rPr>
        <w:t xml:space="preserve"> </w:t>
      </w:r>
      <w:r w:rsidR="00695F77">
        <w:rPr>
          <w:rFonts w:ascii="Times New Roman" w:hAnsi="Times New Roman"/>
        </w:rPr>
        <w:t>Madona</w:t>
      </w:r>
      <w:r w:rsidR="00A5663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novada attīstības programmas 2013.-2020.gadam </w:t>
      </w:r>
      <w:r w:rsidRPr="002A0047">
        <w:rPr>
          <w:rFonts w:ascii="Times New Roman" w:hAnsi="Times New Roman"/>
        </w:rPr>
        <w:t>īstenošanas radīto tiešo vai</w:t>
      </w:r>
      <w:r>
        <w:rPr>
          <w:rFonts w:ascii="Times New Roman" w:hAnsi="Times New Roman"/>
        </w:rPr>
        <w:t xml:space="preserve"> </w:t>
      </w:r>
      <w:r w:rsidRPr="002A0047">
        <w:rPr>
          <w:rFonts w:ascii="Times New Roman" w:hAnsi="Times New Roman"/>
        </w:rPr>
        <w:t>netiešo ietekmi uz vidi, pašvaldība, izmantojot valsts vides monitoringa un citus pieejamos datus,</w:t>
      </w:r>
      <w:r>
        <w:rPr>
          <w:rFonts w:ascii="Times New Roman" w:hAnsi="Times New Roman"/>
        </w:rPr>
        <w:t xml:space="preserve"> </w:t>
      </w:r>
      <w:r w:rsidRPr="002A0047">
        <w:rPr>
          <w:rFonts w:ascii="Times New Roman" w:hAnsi="Times New Roman"/>
        </w:rPr>
        <w:t xml:space="preserve">veiks plānošanas dokumenta realizācijas novērtējumu un vismaz </w:t>
      </w:r>
      <w:r>
        <w:rPr>
          <w:rFonts w:ascii="Times New Roman" w:hAnsi="Times New Roman"/>
        </w:rPr>
        <w:t>vienu reizi</w:t>
      </w:r>
      <w:r w:rsidRPr="002A0047">
        <w:rPr>
          <w:rFonts w:ascii="Times New Roman" w:hAnsi="Times New Roman"/>
        </w:rPr>
        <w:t xml:space="preserve"> plānošanas periodā</w:t>
      </w:r>
      <w:r>
        <w:rPr>
          <w:rFonts w:ascii="Times New Roman" w:hAnsi="Times New Roman"/>
        </w:rPr>
        <w:t xml:space="preserve"> (</w:t>
      </w:r>
      <w:r w:rsidRPr="002A0047">
        <w:rPr>
          <w:rFonts w:ascii="Times New Roman" w:hAnsi="Times New Roman"/>
        </w:rPr>
        <w:t>201</w:t>
      </w:r>
      <w:r w:rsidR="00A5663F">
        <w:rPr>
          <w:rFonts w:ascii="Times New Roman" w:hAnsi="Times New Roman"/>
        </w:rPr>
        <w:t>9</w:t>
      </w:r>
      <w:r w:rsidRPr="002A0047">
        <w:rPr>
          <w:rFonts w:ascii="Times New Roman" w:hAnsi="Times New Roman"/>
        </w:rPr>
        <w:t>.gadā</w:t>
      </w:r>
      <w:r>
        <w:rPr>
          <w:rFonts w:ascii="Times New Roman" w:hAnsi="Times New Roman"/>
        </w:rPr>
        <w:t>)</w:t>
      </w:r>
      <w:r w:rsidRPr="002A0047">
        <w:rPr>
          <w:rFonts w:ascii="Times New Roman" w:hAnsi="Times New Roman"/>
        </w:rPr>
        <w:t xml:space="preserve"> izstrādās monitoringa ziņojumu un iesniegs (arī elektroniskā veidā) Vides</w:t>
      </w:r>
      <w:r>
        <w:rPr>
          <w:rFonts w:ascii="Times New Roman" w:hAnsi="Times New Roman"/>
        </w:rPr>
        <w:t xml:space="preserve"> </w:t>
      </w:r>
      <w:r w:rsidRPr="00982472">
        <w:rPr>
          <w:rFonts w:ascii="Times New Roman" w:hAnsi="Times New Roman"/>
        </w:rPr>
        <w:t>pārraudzības valsts birojā.</w:t>
      </w:r>
    </w:p>
    <w:p w:rsidR="006B4981" w:rsidRDefault="006B4981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</w:rPr>
      </w:pPr>
    </w:p>
    <w:p w:rsidR="00ED08FA" w:rsidRDefault="00695F77" w:rsidP="00ED08FA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Madona</w:t>
      </w:r>
      <w:r w:rsidR="00ED08FA" w:rsidRPr="00ED08FA">
        <w:rPr>
          <w:rFonts w:ascii="Times New Roman" w:hAnsi="Times New Roman"/>
        </w:rPr>
        <w:t xml:space="preserve"> novada attīstības programma</w:t>
      </w:r>
      <w:r w:rsidR="004E1AD9">
        <w:rPr>
          <w:rFonts w:ascii="Times New Roman" w:hAnsi="Times New Roman"/>
        </w:rPr>
        <w:t xml:space="preserve"> 2013.-2020.gadam</w:t>
      </w:r>
      <w:r w:rsidR="00ED08FA" w:rsidRPr="00ED08FA">
        <w:rPr>
          <w:rFonts w:ascii="Times New Roman" w:hAnsi="Times New Roman"/>
        </w:rPr>
        <w:t xml:space="preserve"> un Vides pārskats</w:t>
      </w:r>
      <w:r w:rsidR="00A5663F">
        <w:rPr>
          <w:rFonts w:ascii="Times New Roman" w:hAnsi="Times New Roman"/>
        </w:rPr>
        <w:t xml:space="preserve"> ir</w:t>
      </w:r>
      <w:r w:rsidR="00ED08FA" w:rsidRPr="00ED08FA">
        <w:rPr>
          <w:rFonts w:ascii="Times New Roman" w:hAnsi="Times New Roman"/>
        </w:rPr>
        <w:t xml:space="preserve"> izstrādāti Eiropas Sociālā fonda līdzfinansēta </w:t>
      </w:r>
      <w:r w:rsidR="00ED08FA" w:rsidRPr="000A33B5">
        <w:rPr>
          <w:rFonts w:ascii="Times New Roman" w:hAnsi="Times New Roman"/>
        </w:rPr>
        <w:t xml:space="preserve">projekta </w:t>
      </w:r>
      <w:r w:rsidR="000A33B5" w:rsidRPr="000A33B5">
        <w:rPr>
          <w:rFonts w:ascii="Times New Roman" w:hAnsi="Times New Roman"/>
        </w:rPr>
        <w:t xml:space="preserve">„Madonas novada pašvaldības attīstības plānošanas kapacitātes paaugstināšana” ietvaros </w:t>
      </w:r>
      <w:proofErr w:type="gramStart"/>
      <w:r w:rsidR="000A33B5" w:rsidRPr="000A33B5">
        <w:rPr>
          <w:rFonts w:ascii="Times New Roman" w:hAnsi="Times New Roman"/>
        </w:rPr>
        <w:t>(</w:t>
      </w:r>
      <w:proofErr w:type="gramEnd"/>
      <w:r w:rsidR="000A33B5" w:rsidRPr="000A33B5">
        <w:rPr>
          <w:rFonts w:ascii="Times New Roman" w:hAnsi="Times New Roman"/>
        </w:rPr>
        <w:t>Darbības programma 2007. – 2013.gadam: Cilvēkresursi un nodarbinātība; Prioritāte: 1.5. Administratīvās kapacitātes stiprināšana; Pasākums: 1.5.3. Plānošanas reģionu un vietējo pašvaldību administratīvās un attīstības plānošanas kapacitātes stiprināšana. Aktivitāte: 1.5.3.2. Plānošanas reģionu un vietējo pašvaldību attīstības plānošanas kapacitātes paaugstināšana).</w:t>
      </w:r>
    </w:p>
    <w:p w:rsidR="00583C85" w:rsidRPr="00ED08FA" w:rsidRDefault="00583C85" w:rsidP="00ED08FA">
      <w:pPr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</w:p>
    <w:p w:rsidR="00583C85" w:rsidRDefault="00583C85" w:rsidP="00583C85">
      <w:pPr>
        <w:rPr>
          <w:noProof/>
        </w:rPr>
      </w:pPr>
      <w:r>
        <w:rPr>
          <w:noProof/>
        </w:rPr>
        <w:drawing>
          <wp:inline distT="0" distB="0" distL="0" distR="0">
            <wp:extent cx="1604645" cy="974725"/>
            <wp:effectExtent l="19050" t="0" r="0" b="0"/>
            <wp:docPr id="1" name="Attēls 1" descr="http://www.vraa.gov.lv/uploads/ERAF2007-2013/thumbs/ESF_ar%20nosauk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vraa.gov.lv/uploads/ERAF2007-2013/thumbs/ESF_ar%20nosauku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2130425" cy="241300"/>
            <wp:effectExtent l="19050" t="0" r="3175" b="0"/>
            <wp:docPr id="2" name="Attēls 4" descr="http://www.esfondi.lv/upload/Logotipi/ES_fondu_saukl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http://www.esfondi.lv/upload/Logotipi/ES_fondu_saukli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49070" cy="974725"/>
            <wp:effectExtent l="19050" t="0" r="0" b="0"/>
            <wp:docPr id="3" name="Attēls 1" descr="http://www.esfondi.lv/upload/Logotipi/EK_logo_ar_atsauc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esfondi.lv/upload/Logotipi/EK_logo_ar_atsauc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FA" w:rsidRDefault="00ED08FA" w:rsidP="005B602C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</w:rPr>
      </w:pPr>
    </w:p>
    <w:sectPr w:rsidR="00ED08FA" w:rsidSect="005B60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4A" w:rsidRDefault="0000644A" w:rsidP="002A0047">
      <w:pPr>
        <w:spacing w:before="0" w:after="0"/>
      </w:pPr>
      <w:r>
        <w:separator/>
      </w:r>
    </w:p>
  </w:endnote>
  <w:endnote w:type="continuationSeparator" w:id="0">
    <w:p w:rsidR="0000644A" w:rsidRDefault="0000644A" w:rsidP="002A00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4A" w:rsidRDefault="0000644A" w:rsidP="002A0047">
      <w:pPr>
        <w:spacing w:before="0" w:after="0"/>
      </w:pPr>
      <w:r>
        <w:separator/>
      </w:r>
    </w:p>
  </w:footnote>
  <w:footnote w:type="continuationSeparator" w:id="0">
    <w:p w:rsidR="0000644A" w:rsidRDefault="0000644A" w:rsidP="002A004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B4"/>
    <w:rsid w:val="0000644A"/>
    <w:rsid w:val="000A33B5"/>
    <w:rsid w:val="00170589"/>
    <w:rsid w:val="0018781D"/>
    <w:rsid w:val="001C3BB9"/>
    <w:rsid w:val="001E0CED"/>
    <w:rsid w:val="002458AB"/>
    <w:rsid w:val="002A0047"/>
    <w:rsid w:val="002C226E"/>
    <w:rsid w:val="00414ADF"/>
    <w:rsid w:val="00454EC4"/>
    <w:rsid w:val="004E1AD9"/>
    <w:rsid w:val="005104F3"/>
    <w:rsid w:val="00566D0D"/>
    <w:rsid w:val="005801D9"/>
    <w:rsid w:val="00583C85"/>
    <w:rsid w:val="005846E4"/>
    <w:rsid w:val="005B602C"/>
    <w:rsid w:val="005F6747"/>
    <w:rsid w:val="006411CF"/>
    <w:rsid w:val="0066280D"/>
    <w:rsid w:val="00695F77"/>
    <w:rsid w:val="006B0895"/>
    <w:rsid w:val="006B4981"/>
    <w:rsid w:val="007302C2"/>
    <w:rsid w:val="00740BB3"/>
    <w:rsid w:val="0078433E"/>
    <w:rsid w:val="00787E3B"/>
    <w:rsid w:val="00855C11"/>
    <w:rsid w:val="008666A8"/>
    <w:rsid w:val="00901FCC"/>
    <w:rsid w:val="00982472"/>
    <w:rsid w:val="009E722E"/>
    <w:rsid w:val="00A5663F"/>
    <w:rsid w:val="00AE63B2"/>
    <w:rsid w:val="00B212C5"/>
    <w:rsid w:val="00B22CA4"/>
    <w:rsid w:val="00BD6FB4"/>
    <w:rsid w:val="00C63229"/>
    <w:rsid w:val="00C677CF"/>
    <w:rsid w:val="00DB785E"/>
    <w:rsid w:val="00E8513E"/>
    <w:rsid w:val="00EB7402"/>
    <w:rsid w:val="00ED08FA"/>
    <w:rsid w:val="00FC1D5E"/>
    <w:rsid w:val="00F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B4"/>
    <w:pPr>
      <w:spacing w:before="60" w:after="60"/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6F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D6FB4"/>
    <w:rPr>
      <w:rFonts w:ascii="Calibri" w:hAnsi="Calibri"/>
      <w:sz w:val="24"/>
      <w:szCs w:val="24"/>
    </w:rPr>
  </w:style>
  <w:style w:type="character" w:styleId="Hyperlink">
    <w:name w:val="Hyperlink"/>
    <w:rsid w:val="00BD6FB4"/>
    <w:rPr>
      <w:rFonts w:ascii="Times New Roman" w:hAnsi="Times New Roman" w:cs="Times New Roman"/>
      <w:color w:val="333333"/>
      <w:sz w:val="16"/>
      <w:szCs w:val="16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A0047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047"/>
    <w:rPr>
      <w:rFonts w:ascii="Calibri" w:hAnsi="Calibri"/>
      <w:sz w:val="24"/>
      <w:szCs w:val="24"/>
    </w:rPr>
  </w:style>
  <w:style w:type="paragraph" w:customStyle="1" w:styleId="normal0">
    <w:name w:val="normal+"/>
    <w:basedOn w:val="Normal"/>
    <w:rsid w:val="001C3BB9"/>
    <w:pPr>
      <w:spacing w:before="0" w:after="120"/>
    </w:pPr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Saldus rajona padome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Zane.Stencele</dc:creator>
  <cp:lastModifiedBy>W7</cp:lastModifiedBy>
  <cp:revision>2</cp:revision>
  <dcterms:created xsi:type="dcterms:W3CDTF">2013-06-02T08:34:00Z</dcterms:created>
  <dcterms:modified xsi:type="dcterms:W3CDTF">2013-06-02T08:34:00Z</dcterms:modified>
</cp:coreProperties>
</file>