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6"/>
      </w:tblGrid>
      <w:tr w:rsidR="00837305" w:rsidRPr="00051495" w:rsidTr="00837305">
        <w:trPr>
          <w:tblCellSpacing w:w="0" w:type="dxa"/>
        </w:trPr>
        <w:tc>
          <w:tcPr>
            <w:tcW w:w="1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7305" w:rsidRDefault="00837305" w:rsidP="00837305">
            <w:pPr>
              <w:spacing w:before="75" w:after="75"/>
              <w:ind w:right="0"/>
              <w:jc w:val="righ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Pielikums</w:t>
            </w:r>
          </w:p>
          <w:p w:rsidR="00837305" w:rsidRDefault="00837305" w:rsidP="00837305">
            <w:pPr>
              <w:spacing w:before="75" w:after="75"/>
              <w:ind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Madonas novada pašvaldības domes 26.02.2015. </w:t>
            </w:r>
          </w:p>
          <w:p w:rsidR="00837305" w:rsidRPr="00051495" w:rsidRDefault="00837305" w:rsidP="00837305">
            <w:pPr>
              <w:spacing w:before="75" w:after="75"/>
              <w:ind w:right="0"/>
              <w:jc w:val="righ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lēmumam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 82 (protokols nr.5, 1.p.)</w:t>
            </w:r>
          </w:p>
        </w:tc>
      </w:tr>
      <w:tr w:rsidR="004D2DB7" w:rsidRPr="00051495" w:rsidTr="00837305">
        <w:trPr>
          <w:tblCellSpacing w:w="0" w:type="dxa"/>
        </w:trPr>
        <w:tc>
          <w:tcPr>
            <w:tcW w:w="1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D2DB7" w:rsidRPr="00051495" w:rsidRDefault="004D2DB7" w:rsidP="00085704">
            <w:pPr>
              <w:spacing w:before="75" w:after="75"/>
              <w:ind w:righ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51495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lv-LV"/>
              </w:rPr>
              <w:t>7. Sadaļa – Projekta izmaksas un finansēšanas avoti</w:t>
            </w:r>
          </w:p>
        </w:tc>
      </w:tr>
    </w:tbl>
    <w:p w:rsidR="004D2DB7" w:rsidRPr="00051495" w:rsidRDefault="004D2DB7" w:rsidP="004D2DB7">
      <w:pPr>
        <w:spacing w:before="75" w:after="75"/>
        <w:ind w:right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149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bookmarkStart w:id="0" w:name="_GoBack"/>
      <w:bookmarkEnd w:id="0"/>
    </w:p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05149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 7.1. Projekta finansēšanas plāns</w:t>
      </w:r>
    </w:p>
    <w:tbl>
      <w:tblPr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134"/>
        <w:gridCol w:w="1134"/>
        <w:gridCol w:w="1134"/>
        <w:gridCol w:w="1276"/>
        <w:gridCol w:w="1134"/>
        <w:gridCol w:w="1148"/>
        <w:gridCol w:w="1120"/>
        <w:gridCol w:w="652"/>
        <w:gridCol w:w="992"/>
        <w:gridCol w:w="795"/>
        <w:gridCol w:w="992"/>
        <w:gridCol w:w="764"/>
        <w:gridCol w:w="1134"/>
        <w:gridCol w:w="709"/>
        <w:gridCol w:w="992"/>
      </w:tblGrid>
      <w:tr w:rsidR="004D2DB7" w:rsidRPr="000D49A0" w:rsidTr="00085704">
        <w:trPr>
          <w:trHeight w:val="634"/>
          <w:jc w:val="center"/>
        </w:trPr>
        <w:tc>
          <w:tcPr>
            <w:tcW w:w="624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Gads</w:t>
            </w:r>
          </w:p>
        </w:tc>
        <w:tc>
          <w:tcPr>
            <w:tcW w:w="1134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Kopējās izmaksas</w:t>
            </w:r>
          </w:p>
        </w:tc>
        <w:tc>
          <w:tcPr>
            <w:tcW w:w="1134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Neattieci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-</w:t>
            </w: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nāmās</w:t>
            </w:r>
            <w:proofErr w:type="spellEnd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izmaksas</w:t>
            </w:r>
          </w:p>
        </w:tc>
        <w:tc>
          <w:tcPr>
            <w:tcW w:w="1134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Kopējās </w:t>
            </w:r>
            <w:proofErr w:type="spellStart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attieci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-</w:t>
            </w: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nāmās</w:t>
            </w:r>
            <w:proofErr w:type="spellEnd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izmaksas</w:t>
            </w:r>
          </w:p>
        </w:tc>
        <w:tc>
          <w:tcPr>
            <w:tcW w:w="241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Kopējās attiecināmās izmaksas</w:t>
            </w:r>
          </w:p>
        </w:tc>
        <w:tc>
          <w:tcPr>
            <w:tcW w:w="9298" w:type="dxa"/>
            <w:gridSpan w:val="10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Publiskās izmaksas</w:t>
            </w:r>
          </w:p>
        </w:tc>
      </w:tr>
      <w:tr w:rsidR="004D2DB7" w:rsidRPr="000D49A0" w:rsidTr="00085704">
        <w:trPr>
          <w:trHeight w:val="375"/>
          <w:jc w:val="center"/>
        </w:trPr>
        <w:tc>
          <w:tcPr>
            <w:tcW w:w="62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Publiskās attiecināmās izmaksas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Privātās </w:t>
            </w:r>
            <w:proofErr w:type="spellStart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attieci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-</w:t>
            </w: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nāmās</w:t>
            </w:r>
            <w:proofErr w:type="spellEnd"/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izmaksas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455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Kohēzijas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fonda </w:t>
            </w: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finansējums</w:t>
            </w:r>
          </w:p>
        </w:tc>
        <w:tc>
          <w:tcPr>
            <w:tcW w:w="7030" w:type="dxa"/>
            <w:gridSpan w:val="8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Pārējais finansējums</w:t>
            </w:r>
          </w:p>
        </w:tc>
      </w:tr>
      <w:tr w:rsidR="004D2DB7" w:rsidRPr="000D49A0" w:rsidTr="004E7EB1">
        <w:trPr>
          <w:trHeight w:val="780"/>
          <w:jc w:val="center"/>
        </w:trPr>
        <w:tc>
          <w:tcPr>
            <w:tcW w:w="62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rPr>
                <w:rFonts w:ascii="Verdana" w:eastAsia="Times New Roman" w:hAnsi="Verdana" w:cs="Arial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Attiecināmais valsts budžeta finansējums</w:t>
            </w:r>
          </w:p>
        </w:tc>
        <w:tc>
          <w:tcPr>
            <w:tcW w:w="1787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Valsts budžeta dotācija pašvaldībām</w:t>
            </w:r>
          </w:p>
        </w:tc>
        <w:tc>
          <w:tcPr>
            <w:tcW w:w="1898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Attiecināmais pašvaldības budžeta finansējums</w:t>
            </w:r>
          </w:p>
        </w:tc>
        <w:tc>
          <w:tcPr>
            <w:tcW w:w="1701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BFBFBF" w:themeFill="background1" w:themeFillShade="BF"/>
            <w:vAlign w:val="center"/>
            <w:hideMark/>
          </w:tcPr>
          <w:p w:rsidR="004D2DB7" w:rsidRPr="000D49A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D4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Cits publiskais finansējums</w:t>
            </w:r>
          </w:p>
        </w:tc>
      </w:tr>
      <w:tr w:rsidR="004D2DB7" w:rsidRPr="000D49A0" w:rsidTr="004E7EB1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1=2+3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3=4+5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4=6+8+10+12+14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%</w:t>
            </w: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br/>
              <w:t>7=6/3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%</w:t>
            </w: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br/>
              <w:t>9=8/3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%</w:t>
            </w: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br/>
              <w:t>11=10/3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%</w:t>
            </w: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br/>
              <w:t>13=12/3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vAlign w:val="center"/>
            <w:hideMark/>
          </w:tcPr>
          <w:p w:rsidR="004D2DB7" w:rsidRPr="000D49A0" w:rsidRDefault="004D2DB7" w:rsidP="00085704">
            <w:pPr>
              <w:spacing w:after="0"/>
              <w:ind w:right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</w:pP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t>%</w:t>
            </w:r>
            <w:r w:rsidRPr="000D49A0">
              <w:rPr>
                <w:rFonts w:ascii="Verdana" w:eastAsia="Times New Roman" w:hAnsi="Verdana" w:cs="Arial"/>
                <w:sz w:val="16"/>
                <w:szCs w:val="16"/>
                <w:lang w:eastAsia="lv-LV"/>
              </w:rPr>
              <w:br/>
              <w:t>15=14/3</w:t>
            </w:r>
          </w:p>
        </w:tc>
      </w:tr>
      <w:tr w:rsidR="004E7EB1" w:rsidRPr="001F4E0D" w:rsidTr="004E7EB1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1F4E0D" w:rsidRDefault="004E7EB1" w:rsidP="00085704">
            <w:pPr>
              <w:spacing w:after="0"/>
              <w:ind w:right="0"/>
              <w:jc w:val="center"/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</w:tr>
      <w:tr w:rsidR="00A269E3" w:rsidRPr="001F4E0D" w:rsidTr="003D5F15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1F4E0D" w:rsidRDefault="00A269E3" w:rsidP="00085704">
            <w:pPr>
              <w:spacing w:after="0"/>
              <w:ind w:right="0"/>
              <w:jc w:val="center"/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290 400,00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bottom"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84 375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,</w:t>
            </w: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206 024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,</w:t>
            </w: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175 100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,</w:t>
            </w: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30 924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,</w:t>
            </w: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175 100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,</w:t>
            </w:r>
            <w:r w:rsidRPr="00A269E3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A269E3" w:rsidRPr="00A269E3" w:rsidRDefault="00A269E3" w:rsidP="00A269E3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84,989983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</w:tr>
      <w:tr w:rsidR="004E7EB1" w:rsidRPr="001F4E0D" w:rsidTr="004E7EB1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1F4E0D" w:rsidRDefault="004E7EB1" w:rsidP="00085704">
            <w:pPr>
              <w:spacing w:after="0"/>
              <w:ind w:right="0"/>
              <w:jc w:val="center"/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</w:tr>
      <w:tr w:rsidR="004E7EB1" w:rsidRPr="001F4E0D" w:rsidTr="004E7EB1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1F4E0D" w:rsidRDefault="004E7EB1" w:rsidP="00085704">
            <w:pPr>
              <w:spacing w:after="0"/>
              <w:ind w:right="0"/>
              <w:jc w:val="center"/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000000" w:fill="FFFFFF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4E7EB1" w:rsidRPr="00B26A66" w:rsidRDefault="004E7EB1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</w:tr>
      <w:tr w:rsidR="00A269E3" w:rsidRPr="003B7A70" w:rsidTr="00B441A1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1F4E0D" w:rsidRDefault="00A269E3" w:rsidP="00085704">
            <w:pPr>
              <w:spacing w:after="0"/>
              <w:ind w:right="0"/>
              <w:jc w:val="center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18"/>
                <w:szCs w:val="18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290 400,00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84 375,72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206 024,28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175 100,00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30 924,28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175 100,00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hideMark/>
          </w:tcPr>
          <w:p w:rsidR="00A269E3" w:rsidRPr="00A269E3" w:rsidRDefault="00A269E3" w:rsidP="00C1577E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</w:pPr>
            <w:r w:rsidRPr="00A269E3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0"/>
                <w:szCs w:val="18"/>
                <w:lang w:eastAsia="lv-LV"/>
              </w:rPr>
              <w:t>84,989983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A269E3" w:rsidRPr="00B26A66" w:rsidRDefault="00A269E3" w:rsidP="00785474">
            <w:pPr>
              <w:spacing w:before="60" w:after="60"/>
              <w:ind w:left="-57" w:right="0"/>
              <w:jc w:val="right"/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</w:pPr>
            <w:r w:rsidRPr="00B26A66">
              <w:rPr>
                <w:rFonts w:asciiTheme="minorHAnsi" w:eastAsia="Times New Roman" w:hAnsiTheme="minorHAnsi" w:cstheme="minorHAnsi"/>
                <w:b/>
                <w:bCs/>
                <w:color w:val="17365D" w:themeColor="text2" w:themeShade="BF"/>
                <w:sz w:val="20"/>
                <w:szCs w:val="18"/>
                <w:lang w:eastAsia="lv-LV"/>
              </w:rPr>
              <w:t>0,000000</w:t>
            </w:r>
          </w:p>
        </w:tc>
      </w:tr>
    </w:tbl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sectPr w:rsidR="004D2DB7" w:rsidSect="007963C8">
          <w:pgSz w:w="16838" w:h="11906" w:orient="landscape"/>
          <w:pgMar w:top="992" w:right="567" w:bottom="1134" w:left="425" w:header="709" w:footer="709" w:gutter="0"/>
          <w:cols w:space="708"/>
          <w:docGrid w:linePitch="360"/>
        </w:sectPr>
      </w:pPr>
    </w:p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05149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7.2. Projekta budžeta kopsavilkums, tai skaitā indikatīvais projekta izmaksu plāns</w:t>
      </w:r>
    </w:p>
    <w:tbl>
      <w:tblPr>
        <w:tblW w:w="5536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480"/>
        <w:gridCol w:w="652"/>
        <w:gridCol w:w="1372"/>
        <w:gridCol w:w="709"/>
        <w:gridCol w:w="1420"/>
        <w:gridCol w:w="1983"/>
      </w:tblGrid>
      <w:tr w:rsidR="004D2DB7" w:rsidRPr="003B7A70" w:rsidTr="004D2DB7">
        <w:trPr>
          <w:trHeight w:val="315"/>
          <w:tblCellSpacing w:w="0" w:type="dxa"/>
        </w:trPr>
        <w:tc>
          <w:tcPr>
            <w:tcW w:w="333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Nr.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br/>
              <w:t>p.k.</w:t>
            </w:r>
          </w:p>
        </w:tc>
        <w:tc>
          <w:tcPr>
            <w:tcW w:w="1344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Izmaksu pozīcijas nosaukums</w:t>
            </w:r>
          </w:p>
        </w:tc>
        <w:tc>
          <w:tcPr>
            <w:tcW w:w="353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proofErr w:type="spellStart"/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Dau-dzums</w:t>
            </w:r>
            <w:proofErr w:type="spellEnd"/>
          </w:p>
        </w:tc>
        <w:tc>
          <w:tcPr>
            <w:tcW w:w="1126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Kopējā summa</w:t>
            </w:r>
          </w:p>
        </w:tc>
        <w:tc>
          <w:tcPr>
            <w:tcW w:w="1844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Izmaksas</w:t>
            </w:r>
          </w:p>
        </w:tc>
      </w:tr>
      <w:tr w:rsidR="004D2DB7" w:rsidRPr="003B7A70" w:rsidTr="004D2DB7">
        <w:trPr>
          <w:trHeight w:val="315"/>
          <w:tblCellSpacing w:w="0" w:type="dxa"/>
        </w:trPr>
        <w:tc>
          <w:tcPr>
            <w:tcW w:w="333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after="0"/>
              <w:ind w:right="0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134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after="0"/>
              <w:ind w:right="0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53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after="0"/>
              <w:ind w:right="0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EUR</w:t>
            </w:r>
          </w:p>
        </w:tc>
        <w:tc>
          <w:tcPr>
            <w:tcW w:w="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%</w:t>
            </w:r>
          </w:p>
        </w:tc>
        <w:tc>
          <w:tcPr>
            <w:tcW w:w="7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attiecināmās</w:t>
            </w:r>
          </w:p>
        </w:tc>
        <w:tc>
          <w:tcPr>
            <w:tcW w:w="10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szCs w:val="24"/>
                <w:lang w:eastAsia="lv-LV"/>
              </w:rPr>
              <w:t> </w:t>
            </w: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Neattiecināmās</w:t>
            </w:r>
          </w:p>
          <w:p w:rsidR="004D2DB7" w:rsidRPr="003B7A70" w:rsidRDefault="004D2DB7" w:rsidP="00085704">
            <w:pPr>
              <w:spacing w:before="75" w:after="75"/>
              <w:ind w:right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3B7A70">
              <w:rPr>
                <w:rFonts w:ascii="Times New Roman" w:eastAsia="Times New Roman" w:hAnsi="Times New Roman"/>
                <w:b/>
                <w:bCs/>
                <w:szCs w:val="24"/>
                <w:lang w:eastAsia="lv-LV"/>
              </w:rPr>
              <w:t>(t.sk. PVN, ja to var atgūt)</w:t>
            </w:r>
          </w:p>
        </w:tc>
      </w:tr>
      <w:tr w:rsidR="004D2DB7" w:rsidRPr="008A03AB" w:rsidTr="004D2DB7">
        <w:trPr>
          <w:trHeight w:val="410"/>
          <w:tblCellSpacing w:w="0" w:type="dxa"/>
        </w:trPr>
        <w:tc>
          <w:tcPr>
            <w:tcW w:w="3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1F4E0D" w:rsidRDefault="004D2DB7" w:rsidP="00085704">
            <w:pPr>
              <w:spacing w:before="75" w:after="75"/>
              <w:ind w:left="57" w:right="57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1.</w:t>
            </w:r>
          </w:p>
        </w:tc>
        <w:tc>
          <w:tcPr>
            <w:tcW w:w="13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D2DB7" w:rsidRPr="001F4E0D" w:rsidRDefault="004D2DB7" w:rsidP="00085704">
            <w:pPr>
              <w:spacing w:before="75" w:after="75"/>
              <w:ind w:left="57" w:right="0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Būvdarbu izmaksas kopā: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1F4E0D" w:rsidRDefault="004D2DB7" w:rsidP="00085704">
            <w:pPr>
              <w:spacing w:before="75" w:after="75"/>
              <w:ind w:left="57" w:right="57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1</w:t>
            </w: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290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400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,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00</w:t>
            </w:r>
          </w:p>
        </w:tc>
        <w:tc>
          <w:tcPr>
            <w:tcW w:w="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100</w:t>
            </w:r>
          </w:p>
        </w:tc>
        <w:tc>
          <w:tcPr>
            <w:tcW w:w="7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240 000,00</w:t>
            </w:r>
          </w:p>
        </w:tc>
        <w:tc>
          <w:tcPr>
            <w:tcW w:w="10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50 400,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00</w:t>
            </w:r>
          </w:p>
        </w:tc>
      </w:tr>
      <w:tr w:rsidR="004D2DB7" w:rsidRPr="008A03AB" w:rsidTr="004D2DB7">
        <w:trPr>
          <w:trHeight w:val="330"/>
          <w:tblCellSpacing w:w="0" w:type="dxa"/>
        </w:trPr>
        <w:tc>
          <w:tcPr>
            <w:tcW w:w="33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left="57" w:right="57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3B7A70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1.1.</w:t>
            </w:r>
          </w:p>
        </w:tc>
        <w:tc>
          <w:tcPr>
            <w:tcW w:w="13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D2DB7" w:rsidRPr="003B7A70" w:rsidRDefault="004D2DB7" w:rsidP="00085704">
            <w:pPr>
              <w:spacing w:before="75" w:after="75"/>
              <w:ind w:left="57" w:right="57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„1”</w:t>
            </w:r>
            <w:r w:rsidRPr="00DD2DE4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 xml:space="preserve"> -</w:t>
            </w:r>
            <w:r w:rsidRPr="00F24DAE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053AA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Līgums Nr.1 Būvdarbu līgums - Kanalizācijas tīklu pārbūve Saules, Raiņa, Tirgus un Mazā ielā Madonā, Madonas novadā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3B7A70" w:rsidRDefault="004D2DB7" w:rsidP="00085704">
            <w:pPr>
              <w:spacing w:before="75" w:after="75"/>
              <w:ind w:left="57" w:right="57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3B7A70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1</w:t>
            </w:r>
            <w:r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 xml:space="preserve"> </w:t>
            </w: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290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400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,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00</w:t>
            </w:r>
          </w:p>
        </w:tc>
        <w:tc>
          <w:tcPr>
            <w:tcW w:w="3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100</w:t>
            </w:r>
          </w:p>
        </w:tc>
        <w:tc>
          <w:tcPr>
            <w:tcW w:w="7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240 000,00</w:t>
            </w:r>
          </w:p>
        </w:tc>
        <w:tc>
          <w:tcPr>
            <w:tcW w:w="10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D2DB7" w:rsidRPr="008A03AB" w:rsidRDefault="004D2DB7" w:rsidP="00085704">
            <w:pPr>
              <w:spacing w:after="40"/>
              <w:ind w:right="57"/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50 400,</w:t>
            </w:r>
            <w:r w:rsidRPr="00053AAD">
              <w:rPr>
                <w:rFonts w:asciiTheme="minorHAnsi" w:hAnsiTheme="minorHAnsi" w:cstheme="minorHAnsi"/>
                <w:color w:val="17365D" w:themeColor="text2" w:themeShade="BF"/>
              </w:rPr>
              <w:t>00</w:t>
            </w:r>
          </w:p>
        </w:tc>
      </w:tr>
      <w:tr w:rsidR="004D2DB7" w:rsidRPr="008A03AB" w:rsidTr="004D2DB7">
        <w:trPr>
          <w:trHeight w:val="335"/>
          <w:tblCellSpacing w:w="0" w:type="dxa"/>
        </w:trPr>
        <w:tc>
          <w:tcPr>
            <w:tcW w:w="333" w:type="pct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</w:tcPr>
          <w:p w:rsidR="004D2DB7" w:rsidRPr="001F4E0D" w:rsidRDefault="004D2DB7" w:rsidP="00085704">
            <w:pPr>
              <w:spacing w:before="75" w:after="75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 </w:t>
            </w:r>
          </w:p>
        </w:tc>
        <w:tc>
          <w:tcPr>
            <w:tcW w:w="1344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1F4E0D" w:rsidRDefault="004D2DB7" w:rsidP="00085704">
            <w:pPr>
              <w:spacing w:before="75" w:after="75"/>
              <w:ind w:left="57" w:right="0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  <w:t> KOPĀ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1F4E0D" w:rsidRDefault="004D2DB7" w:rsidP="00085704">
            <w:pPr>
              <w:spacing w:before="75" w:after="75"/>
              <w:ind w:left="57" w:right="57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b/>
                <w:color w:val="17365D" w:themeColor="text2" w:themeShade="BF"/>
                <w:lang w:eastAsia="lv-LV"/>
              </w:rPr>
              <w:t>1</w:t>
            </w: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b/>
                <w:color w:val="17365D" w:themeColor="text2" w:themeShade="BF"/>
              </w:rPr>
              <w:t>290 400,00</w:t>
            </w:r>
          </w:p>
        </w:tc>
        <w:tc>
          <w:tcPr>
            <w:tcW w:w="384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b/>
                <w:color w:val="17365D" w:themeColor="text2" w:themeShade="BF"/>
              </w:rPr>
              <w:t>100</w:t>
            </w:r>
          </w:p>
        </w:tc>
        <w:tc>
          <w:tcPr>
            <w:tcW w:w="769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240 000,00</w:t>
            </w:r>
          </w:p>
        </w:tc>
        <w:tc>
          <w:tcPr>
            <w:tcW w:w="1075" w:type="pct"/>
            <w:tcBorders>
              <w:top w:val="outset" w:sz="6" w:space="0" w:color="808080"/>
              <w:left w:val="outset" w:sz="6" w:space="0" w:color="808080"/>
              <w:bottom w:val="outset" w:sz="6" w:space="0" w:color="auto"/>
              <w:right w:val="outset" w:sz="6" w:space="0" w:color="808080"/>
            </w:tcBorders>
            <w:vAlign w:val="center"/>
          </w:tcPr>
          <w:p w:rsidR="004D2DB7" w:rsidRPr="00053AAD" w:rsidRDefault="004D2DB7" w:rsidP="00085704">
            <w:pPr>
              <w:spacing w:after="40"/>
              <w:ind w:right="57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053AAD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50 400,00</w:t>
            </w:r>
          </w:p>
        </w:tc>
      </w:tr>
      <w:tr w:rsidR="004D2DB7" w:rsidRPr="002E3376" w:rsidTr="004D2DB7">
        <w:trPr>
          <w:trHeight w:val="847"/>
          <w:tblCellSpacing w:w="0" w:type="dxa"/>
        </w:trPr>
        <w:tc>
          <w:tcPr>
            <w:tcW w:w="333" w:type="pct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1F4E0D" w:rsidRDefault="004D2DB7" w:rsidP="00085704">
            <w:pPr>
              <w:spacing w:before="75" w:after="75"/>
              <w:ind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lang w:eastAsia="lv-LV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1F4E0D" w:rsidRDefault="004D2DB7" w:rsidP="00085704">
            <w:pPr>
              <w:spacing w:after="40"/>
              <w:ind w:left="57" w:right="0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lang w:eastAsia="lv-LV"/>
              </w:rPr>
            </w:pP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lang w:eastAsia="lv-LV"/>
              </w:rPr>
              <w:t xml:space="preserve">tai skaitā finanšu rezerve līdz 5% no projekta būvdarbu un </w:t>
            </w:r>
            <w:r w:rsidRPr="001F4E0D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piegāžu</w:t>
            </w:r>
            <w:r w:rsidRPr="001F4E0D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lang w:eastAsia="lv-LV"/>
              </w:rPr>
              <w:t xml:space="preserve"> attiecināmo izmaksu summas 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1F4E0D" w:rsidRDefault="004D2DB7" w:rsidP="00085704">
            <w:pPr>
              <w:spacing w:after="40"/>
              <w:ind w:right="-83"/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1F4E0D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n/a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A359D6" w:rsidRDefault="004D2DB7" w:rsidP="00085704">
            <w:pPr>
              <w:spacing w:after="40"/>
              <w:ind w:left="57" w:right="0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 w:rsidRPr="008A03AB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n/a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2E3376" w:rsidRDefault="004D2DB7" w:rsidP="00085704">
            <w:pPr>
              <w:spacing w:after="40"/>
              <w:ind w:left="57" w:right="0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8A03AB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n/a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2E3376" w:rsidRDefault="004D2DB7" w:rsidP="00085704">
            <w:pPr>
              <w:spacing w:after="40"/>
              <w:ind w:left="57" w:right="0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  <w:lang w:eastAsia="lv-LV"/>
              </w:rPr>
            </w:pPr>
            <w:r w:rsidRPr="008A03AB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n/a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D2DB7" w:rsidRPr="002E3376" w:rsidRDefault="004D2DB7" w:rsidP="00085704">
            <w:pPr>
              <w:spacing w:after="40"/>
              <w:ind w:left="57" w:right="0"/>
              <w:jc w:val="right"/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  <w:lang w:eastAsia="lv-LV"/>
              </w:rPr>
            </w:pPr>
            <w:r w:rsidRPr="008A03AB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  <w:lang w:eastAsia="lv-LV"/>
              </w:rPr>
              <w:t>n/a</w:t>
            </w:r>
          </w:p>
        </w:tc>
      </w:tr>
    </w:tbl>
    <w:p w:rsidR="004D2DB7" w:rsidRDefault="004D2DB7" w:rsidP="004D2DB7">
      <w:pPr>
        <w:spacing w:before="75" w:after="75"/>
        <w:ind w:right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8758C2" w:rsidRDefault="008758C2"/>
    <w:p w:rsidR="008E1452" w:rsidRPr="008E1452" w:rsidRDefault="008E1452" w:rsidP="008E1452">
      <w:pPr>
        <w:widowControl w:val="0"/>
        <w:spacing w:after="240"/>
        <w:ind w:right="-851" w:firstLine="284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  <w:r w:rsidRPr="008E1452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Finansētāju ieguldījumu kopsavilkums.</w:t>
      </w:r>
    </w:p>
    <w:tbl>
      <w:tblPr>
        <w:tblW w:w="6662" w:type="dxa"/>
        <w:tblInd w:w="392" w:type="dxa"/>
        <w:tblLook w:val="01E0" w:firstRow="1" w:lastRow="1" w:firstColumn="1" w:lastColumn="1" w:noHBand="0" w:noVBand="0"/>
      </w:tblPr>
      <w:tblGrid>
        <w:gridCol w:w="5147"/>
        <w:gridCol w:w="1515"/>
      </w:tblGrid>
      <w:tr w:rsidR="008E1452" w:rsidRPr="008E1452" w:rsidTr="00085704">
        <w:trPr>
          <w:tblHeader/>
        </w:trPr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2" w:rsidRPr="008E1452" w:rsidRDefault="008E1452" w:rsidP="00085704">
            <w:pPr>
              <w:pStyle w:val="Tabulasgalvene"/>
              <w:rPr>
                <w:rFonts w:ascii="Times New Roman" w:hAnsi="Times New Roman"/>
                <w:noProof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noProof/>
                <w:sz w:val="24"/>
                <w:lang w:val="lv-LV"/>
              </w:rPr>
              <w:t>Finansētājs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52" w:rsidRPr="008E1452" w:rsidRDefault="008E1452" w:rsidP="00085704">
            <w:pPr>
              <w:pStyle w:val="Tabulasgalvene"/>
              <w:rPr>
                <w:rFonts w:ascii="Times New Roman" w:hAnsi="Times New Roman"/>
                <w:noProof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noProof/>
                <w:sz w:val="24"/>
                <w:lang w:val="lv-LV"/>
              </w:rPr>
              <w:t>EUR</w:t>
            </w:r>
          </w:p>
        </w:tc>
      </w:tr>
      <w:tr w:rsidR="008E1452" w:rsidRPr="008E1452" w:rsidTr="00085704"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52" w:rsidRPr="008E1452" w:rsidRDefault="008E1452" w:rsidP="00085704">
            <w:pPr>
              <w:pStyle w:val="Tabulasteksts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Kohēzijas fonda ieguldījums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452" w:rsidRPr="008E1452" w:rsidRDefault="008E1452" w:rsidP="008E1452">
            <w:pPr>
              <w:pStyle w:val="Tabulasteksts"/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175 100.00</w:t>
            </w:r>
          </w:p>
        </w:tc>
      </w:tr>
      <w:tr w:rsidR="008E1452" w:rsidRPr="008E1452" w:rsidTr="00085704">
        <w:tc>
          <w:tcPr>
            <w:tcW w:w="5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52" w:rsidRPr="008E1452" w:rsidRDefault="008E1452" w:rsidP="00085704">
            <w:pPr>
              <w:pStyle w:val="Tabulasteksts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Pašvaldības budžeta finansējums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452" w:rsidRPr="008E1452" w:rsidRDefault="008E1452" w:rsidP="00085704">
            <w:pPr>
              <w:pStyle w:val="Tabulasteksts"/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39 900.00</w:t>
            </w:r>
          </w:p>
        </w:tc>
      </w:tr>
      <w:tr w:rsidR="008E1452" w:rsidRPr="008E1452" w:rsidTr="00085704">
        <w:tc>
          <w:tcPr>
            <w:tcW w:w="5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52" w:rsidRPr="008E1452" w:rsidRDefault="008E1452" w:rsidP="00085704">
            <w:pPr>
              <w:pStyle w:val="Tabulasteksts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Uzņēmuma finansējums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452" w:rsidRPr="008E1452" w:rsidRDefault="008E1452" w:rsidP="00085704">
            <w:pPr>
              <w:pStyle w:val="Tabulasteksts"/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25 000.00</w:t>
            </w:r>
          </w:p>
        </w:tc>
      </w:tr>
      <w:tr w:rsidR="008E1452" w:rsidRPr="008E1452" w:rsidTr="00085704">
        <w:tc>
          <w:tcPr>
            <w:tcW w:w="5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52" w:rsidRPr="008E1452" w:rsidRDefault="008E1452" w:rsidP="00085704">
            <w:pPr>
              <w:pStyle w:val="Tabulasteksts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PVN</w:t>
            </w:r>
            <w:r w:rsidRPr="008E1452">
              <w:rPr>
                <w:rFonts w:ascii="Times New Roman" w:hAnsi="Times New Roman"/>
                <w:sz w:val="24"/>
                <w:vertAlign w:val="superscript"/>
                <w:lang w:val="lv-LV"/>
              </w:rPr>
              <w:t>(a)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452" w:rsidRPr="008E1452" w:rsidRDefault="008E1452" w:rsidP="00085704">
            <w:pPr>
              <w:pStyle w:val="Tabulasteksts"/>
              <w:rPr>
                <w:rFonts w:ascii="Times New Roman" w:hAnsi="Times New Roman"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sz w:val="24"/>
                <w:lang w:val="lv-LV"/>
              </w:rPr>
              <w:t>50 400.00</w:t>
            </w:r>
          </w:p>
        </w:tc>
      </w:tr>
      <w:tr w:rsidR="008E1452" w:rsidRPr="008E1452" w:rsidTr="00085704">
        <w:tc>
          <w:tcPr>
            <w:tcW w:w="5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452" w:rsidRPr="008E1452" w:rsidRDefault="008E1452" w:rsidP="00085704">
            <w:pPr>
              <w:pStyle w:val="Tabulasteksts"/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b/>
                <w:sz w:val="24"/>
                <w:lang w:val="lv-LV"/>
              </w:rPr>
              <w:t>Projekta kopējās izmaksas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452" w:rsidRPr="008E1452" w:rsidRDefault="008E1452" w:rsidP="00085704">
            <w:pPr>
              <w:pStyle w:val="Tabulasteksts"/>
              <w:rPr>
                <w:rFonts w:ascii="Times New Roman" w:hAnsi="Times New Roman"/>
                <w:b/>
                <w:sz w:val="24"/>
                <w:lang w:val="lv-LV"/>
              </w:rPr>
            </w:pPr>
            <w:r w:rsidRPr="008E1452">
              <w:rPr>
                <w:rFonts w:ascii="Times New Roman" w:hAnsi="Times New Roman"/>
                <w:b/>
                <w:sz w:val="24"/>
                <w:lang w:val="lv-LV"/>
              </w:rPr>
              <w:t>290 400.00</w:t>
            </w:r>
          </w:p>
        </w:tc>
      </w:tr>
    </w:tbl>
    <w:p w:rsidR="008E1452" w:rsidRPr="0041356C" w:rsidRDefault="008E1452" w:rsidP="008E1452">
      <w:pPr>
        <w:pStyle w:val="Piezimes"/>
        <w:rPr>
          <w:rFonts w:ascii="Times New Roman" w:hAnsi="Times New Roman"/>
          <w:i/>
          <w:sz w:val="14"/>
          <w:lang w:val="lv-LV"/>
        </w:rPr>
      </w:pPr>
      <w:r w:rsidRPr="0041356C">
        <w:rPr>
          <w:rFonts w:ascii="Times New Roman" w:hAnsi="Times New Roman"/>
          <w:i/>
          <w:sz w:val="14"/>
          <w:lang w:val="lv-LV"/>
        </w:rPr>
        <w:t>Piezīmes: (a) - PVN apmaksu veic uzņēmums. Uzņēmumam ir iespējas atgūt PVN 100% apmērā.</w:t>
      </w:r>
    </w:p>
    <w:p w:rsidR="004D2DB7" w:rsidRDefault="004D2DB7"/>
    <w:sectPr w:rsidR="004D2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7"/>
    <w:rsid w:val="004D2DB7"/>
    <w:rsid w:val="004E7EB1"/>
    <w:rsid w:val="00837305"/>
    <w:rsid w:val="008758C2"/>
    <w:rsid w:val="008E1452"/>
    <w:rsid w:val="008F71A8"/>
    <w:rsid w:val="00A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2DB7"/>
    <w:pPr>
      <w:spacing w:line="240" w:lineRule="auto"/>
      <w:ind w:right="-998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ulasgalvene">
    <w:name w:val="Tabulas galvene"/>
    <w:basedOn w:val="Parasts"/>
    <w:next w:val="Parasts"/>
    <w:link w:val="TabulasgalveneRakstz"/>
    <w:autoRedefine/>
    <w:rsid w:val="008E1452"/>
    <w:pPr>
      <w:spacing w:before="60" w:after="60"/>
      <w:ind w:right="0"/>
      <w:jc w:val="center"/>
    </w:pPr>
    <w:rPr>
      <w:rFonts w:ascii="Garamond" w:eastAsia="Times New Roman" w:hAnsi="Garamond"/>
      <w:b/>
      <w:i/>
      <w:sz w:val="18"/>
      <w:szCs w:val="24"/>
      <w:lang w:val="en-GB"/>
    </w:rPr>
  </w:style>
  <w:style w:type="paragraph" w:customStyle="1" w:styleId="Tabulasteksts">
    <w:name w:val="Tabulas teksts"/>
    <w:basedOn w:val="Parasts"/>
    <w:next w:val="Parasts"/>
    <w:rsid w:val="008E1452"/>
    <w:pPr>
      <w:spacing w:before="20" w:after="20"/>
      <w:ind w:right="0"/>
    </w:pPr>
    <w:rPr>
      <w:rFonts w:ascii="Garamond" w:eastAsia="Times New Roman" w:hAnsi="Garamond"/>
      <w:noProof/>
      <w:sz w:val="20"/>
      <w:szCs w:val="24"/>
      <w:lang w:val="en-GB"/>
    </w:rPr>
  </w:style>
  <w:style w:type="character" w:customStyle="1" w:styleId="TabulasgalveneRakstz">
    <w:name w:val="Tabulas galvene Rakstz."/>
    <w:link w:val="Tabulasgalvene"/>
    <w:rsid w:val="008E1452"/>
    <w:rPr>
      <w:rFonts w:ascii="Garamond" w:eastAsia="Times New Roman" w:hAnsi="Garamond" w:cs="Times New Roman"/>
      <w:b/>
      <w:i/>
      <w:sz w:val="18"/>
      <w:szCs w:val="24"/>
      <w:lang w:val="en-GB"/>
    </w:rPr>
  </w:style>
  <w:style w:type="paragraph" w:customStyle="1" w:styleId="Piezimes">
    <w:name w:val="Piezimes"/>
    <w:basedOn w:val="Parasts"/>
    <w:link w:val="PiezimesRakstz"/>
    <w:rsid w:val="008E1452"/>
    <w:pPr>
      <w:tabs>
        <w:tab w:val="left" w:pos="1616"/>
      </w:tabs>
      <w:spacing w:before="80" w:after="40" w:line="0" w:lineRule="atLeast"/>
      <w:ind w:left="851" w:right="-175"/>
    </w:pPr>
    <w:rPr>
      <w:rFonts w:ascii="Garamond" w:eastAsia="Times New Roman" w:hAnsi="Garamond"/>
      <w:spacing w:val="-8"/>
      <w:sz w:val="16"/>
      <w:szCs w:val="16"/>
      <w:lang w:val="en-GB"/>
    </w:rPr>
  </w:style>
  <w:style w:type="character" w:customStyle="1" w:styleId="PiezimesRakstz">
    <w:name w:val="Piezimes Rakstz."/>
    <w:link w:val="Piezimes"/>
    <w:rsid w:val="008E1452"/>
    <w:rPr>
      <w:rFonts w:ascii="Garamond" w:eastAsia="Times New Roman" w:hAnsi="Garamond" w:cs="Times New Roman"/>
      <w:spacing w:val="-8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2DB7"/>
    <w:pPr>
      <w:spacing w:line="240" w:lineRule="auto"/>
      <w:ind w:right="-998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ulasgalvene">
    <w:name w:val="Tabulas galvene"/>
    <w:basedOn w:val="Parasts"/>
    <w:next w:val="Parasts"/>
    <w:link w:val="TabulasgalveneRakstz"/>
    <w:autoRedefine/>
    <w:rsid w:val="008E1452"/>
    <w:pPr>
      <w:spacing w:before="60" w:after="60"/>
      <w:ind w:right="0"/>
      <w:jc w:val="center"/>
    </w:pPr>
    <w:rPr>
      <w:rFonts w:ascii="Garamond" w:eastAsia="Times New Roman" w:hAnsi="Garamond"/>
      <w:b/>
      <w:i/>
      <w:sz w:val="18"/>
      <w:szCs w:val="24"/>
      <w:lang w:val="en-GB"/>
    </w:rPr>
  </w:style>
  <w:style w:type="paragraph" w:customStyle="1" w:styleId="Tabulasteksts">
    <w:name w:val="Tabulas teksts"/>
    <w:basedOn w:val="Parasts"/>
    <w:next w:val="Parasts"/>
    <w:rsid w:val="008E1452"/>
    <w:pPr>
      <w:spacing w:before="20" w:after="20"/>
      <w:ind w:right="0"/>
    </w:pPr>
    <w:rPr>
      <w:rFonts w:ascii="Garamond" w:eastAsia="Times New Roman" w:hAnsi="Garamond"/>
      <w:noProof/>
      <w:sz w:val="20"/>
      <w:szCs w:val="24"/>
      <w:lang w:val="en-GB"/>
    </w:rPr>
  </w:style>
  <w:style w:type="character" w:customStyle="1" w:styleId="TabulasgalveneRakstz">
    <w:name w:val="Tabulas galvene Rakstz."/>
    <w:link w:val="Tabulasgalvene"/>
    <w:rsid w:val="008E1452"/>
    <w:rPr>
      <w:rFonts w:ascii="Garamond" w:eastAsia="Times New Roman" w:hAnsi="Garamond" w:cs="Times New Roman"/>
      <w:b/>
      <w:i/>
      <w:sz w:val="18"/>
      <w:szCs w:val="24"/>
      <w:lang w:val="en-GB"/>
    </w:rPr>
  </w:style>
  <w:style w:type="paragraph" w:customStyle="1" w:styleId="Piezimes">
    <w:name w:val="Piezimes"/>
    <w:basedOn w:val="Parasts"/>
    <w:link w:val="PiezimesRakstz"/>
    <w:rsid w:val="008E1452"/>
    <w:pPr>
      <w:tabs>
        <w:tab w:val="left" w:pos="1616"/>
      </w:tabs>
      <w:spacing w:before="80" w:after="40" w:line="0" w:lineRule="atLeast"/>
      <w:ind w:left="851" w:right="-175"/>
    </w:pPr>
    <w:rPr>
      <w:rFonts w:ascii="Garamond" w:eastAsia="Times New Roman" w:hAnsi="Garamond"/>
      <w:spacing w:val="-8"/>
      <w:sz w:val="16"/>
      <w:szCs w:val="16"/>
      <w:lang w:val="en-GB"/>
    </w:rPr>
  </w:style>
  <w:style w:type="character" w:customStyle="1" w:styleId="PiezimesRakstz">
    <w:name w:val="Piezimes Rakstz."/>
    <w:link w:val="Piezimes"/>
    <w:rsid w:val="008E1452"/>
    <w:rPr>
      <w:rFonts w:ascii="Garamond" w:eastAsia="Times New Roman" w:hAnsi="Garamond" w:cs="Times New Roman"/>
      <w:spacing w:val="-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</dc:creator>
  <cp:lastModifiedBy>Laima Liepiņa</cp:lastModifiedBy>
  <cp:revision>2</cp:revision>
  <cp:lastPrinted>2015-02-26T14:18:00Z</cp:lastPrinted>
  <dcterms:created xsi:type="dcterms:W3CDTF">2015-02-26T14:19:00Z</dcterms:created>
  <dcterms:modified xsi:type="dcterms:W3CDTF">2015-02-26T14:19:00Z</dcterms:modified>
</cp:coreProperties>
</file>